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3B9" w:rsidRPr="00E13C41" w:rsidRDefault="00E13C41">
      <w:pPr>
        <w:rPr>
          <w:b/>
          <w:sz w:val="28"/>
          <w:szCs w:val="28"/>
        </w:rPr>
      </w:pPr>
      <w:bookmarkStart w:id="0" w:name="_GoBack"/>
      <w:bookmarkEnd w:id="0"/>
      <w:r w:rsidRPr="00E13C41">
        <w:rPr>
          <w:b/>
          <w:sz w:val="28"/>
          <w:szCs w:val="28"/>
        </w:rPr>
        <w:t>Comprendre votre évaluation municipale</w:t>
      </w:r>
    </w:p>
    <w:p w:rsidR="00CF5736" w:rsidRDefault="00DA72EE" w:rsidP="00CF5736">
      <w:r>
        <w:t>Le texte</w:t>
      </w:r>
      <w:r w:rsidR="00CF5736">
        <w:t xml:space="preserve"> qui suit offre </w:t>
      </w:r>
      <w:r w:rsidR="00794D1A">
        <w:t>de l’information</w:t>
      </w:r>
      <w:r w:rsidR="00CF5736">
        <w:t xml:space="preserve"> sur le nouveau rôle municipal ainsi que des données particulières au secteur des Jardins Taché. </w:t>
      </w:r>
    </w:p>
    <w:p w:rsidR="00E13C41" w:rsidRDefault="00F34D23">
      <w:r>
        <w:t>V</w:t>
      </w:r>
      <w:r w:rsidR="00CF5736">
        <w:t xml:space="preserve">ous avez </w:t>
      </w:r>
      <w:r w:rsidR="00794D1A">
        <w:t>récemment</w:t>
      </w:r>
      <w:r w:rsidR="00CF5736">
        <w:t xml:space="preserve"> reçu votre </w:t>
      </w:r>
      <w:r w:rsidR="0045255E">
        <w:t>compte de taxes 2021, ainsi que</w:t>
      </w:r>
      <w:r w:rsidR="00CF5736">
        <w:t xml:space="preserve"> des explications sur l’évaluation de votre propriété.</w:t>
      </w:r>
      <w:r w:rsidR="00DA72EE">
        <w:t xml:space="preserve"> Ce rôle municipal sera en</w:t>
      </w:r>
      <w:r w:rsidR="00E13C41">
        <w:t xml:space="preserve"> place pour les trois prochaines années.</w:t>
      </w:r>
    </w:p>
    <w:p w:rsidR="000C41BF" w:rsidRDefault="00DA72EE">
      <w:r>
        <w:t>À l’instar des autres municipalités au Québec, l</w:t>
      </w:r>
      <w:r w:rsidR="0045255E">
        <w:t>a Vil</w:t>
      </w:r>
      <w:r w:rsidR="004E6E53">
        <w:t xml:space="preserve">le de </w:t>
      </w:r>
      <w:r w:rsidR="001F4ECB">
        <w:t>Gatineau</w:t>
      </w:r>
      <w:r w:rsidR="004B1EEE">
        <w:t xml:space="preserve"> se doit de mettre à jour les évaluations</w:t>
      </w:r>
      <w:r w:rsidR="001F4ECB">
        <w:t xml:space="preserve"> municipales de toutes les propriétés sur son territoire afin d’établir la base sur laquelle les taxes municipales seront calculées. </w:t>
      </w:r>
    </w:p>
    <w:p w:rsidR="00DA72EE" w:rsidRDefault="00DA72EE">
      <w:pPr>
        <w:rPr>
          <w:b/>
        </w:rPr>
      </w:pPr>
      <w:r>
        <w:rPr>
          <w:b/>
        </w:rPr>
        <w:t>Que veut dire la v</w:t>
      </w:r>
      <w:r w:rsidR="005544DB" w:rsidRPr="005544DB">
        <w:rPr>
          <w:b/>
        </w:rPr>
        <w:t xml:space="preserve">aleur </w:t>
      </w:r>
      <w:r w:rsidR="000C41BF">
        <w:rPr>
          <w:b/>
        </w:rPr>
        <w:t>municipale</w:t>
      </w:r>
      <w:r>
        <w:rPr>
          <w:b/>
        </w:rPr>
        <w:t>?</w:t>
      </w:r>
    </w:p>
    <w:p w:rsidR="00E13C41" w:rsidRDefault="001F4ECB">
      <w:r>
        <w:t>Il ne faut pas se méprendre</w:t>
      </w:r>
      <w:r w:rsidR="004E6E53">
        <w:t>;</w:t>
      </w:r>
      <w:r>
        <w:t xml:space="preserve"> la valeur municipale</w:t>
      </w:r>
      <w:r w:rsidR="000C41BF">
        <w:t xml:space="preserve"> (</w:t>
      </w:r>
      <w:r w:rsidR="004B1EEE">
        <w:t>dite valeur réelle</w:t>
      </w:r>
      <w:r w:rsidR="000C41BF">
        <w:t>)</w:t>
      </w:r>
      <w:r>
        <w:t xml:space="preserve"> n’est pas synonyme de </w:t>
      </w:r>
      <w:r w:rsidR="000C41BF">
        <w:t xml:space="preserve">la </w:t>
      </w:r>
      <w:r>
        <w:t xml:space="preserve">valeur </w:t>
      </w:r>
      <w:r w:rsidR="00535D62">
        <w:t xml:space="preserve">de votre propriété </w:t>
      </w:r>
      <w:r w:rsidR="000C41BF">
        <w:t>en date d’</w:t>
      </w:r>
      <w:r w:rsidR="00535D62">
        <w:t>aujourd’hui</w:t>
      </w:r>
      <w:r w:rsidR="00DA72EE">
        <w:t>.</w:t>
      </w:r>
    </w:p>
    <w:p w:rsidR="005544DB" w:rsidRDefault="00990089" w:rsidP="005544DB">
      <w:r>
        <w:rPr>
          <w:b/>
          <w:i/>
        </w:rPr>
        <w:t>L</w:t>
      </w:r>
      <w:r w:rsidR="005544DB" w:rsidRPr="00102957">
        <w:rPr>
          <w:b/>
          <w:i/>
        </w:rPr>
        <w:t xml:space="preserve">a date de </w:t>
      </w:r>
      <w:r w:rsidR="005544DB">
        <w:rPr>
          <w:b/>
          <w:i/>
        </w:rPr>
        <w:t>référence</w:t>
      </w:r>
      <w:r w:rsidR="005544DB" w:rsidRPr="00102957">
        <w:rPr>
          <w:b/>
          <w:i/>
        </w:rPr>
        <w:t xml:space="preserve"> </w:t>
      </w:r>
      <w:r w:rsidR="00946E73">
        <w:rPr>
          <w:b/>
          <w:i/>
        </w:rPr>
        <w:t xml:space="preserve">de l’évaluation </w:t>
      </w:r>
      <w:r w:rsidR="005544DB" w:rsidRPr="00102957">
        <w:rPr>
          <w:b/>
          <w:i/>
        </w:rPr>
        <w:t xml:space="preserve">est de 18 mois avant la date d’entrée en vigueur du rôle, </w:t>
      </w:r>
      <w:proofErr w:type="gramStart"/>
      <w:r w:rsidR="005544DB" w:rsidRPr="00102957">
        <w:rPr>
          <w:b/>
          <w:i/>
        </w:rPr>
        <w:t>donc</w:t>
      </w:r>
      <w:proofErr w:type="gramEnd"/>
      <w:r w:rsidR="005544DB" w:rsidRPr="00102957">
        <w:rPr>
          <w:b/>
          <w:i/>
        </w:rPr>
        <w:t xml:space="preserve"> juillet 2019, dans le cas présent.</w:t>
      </w:r>
      <w:r w:rsidR="005544DB">
        <w:t xml:space="preserve"> </w:t>
      </w:r>
      <w:r w:rsidR="005544DB" w:rsidRPr="00102957">
        <w:rPr>
          <w:b/>
          <w:i/>
        </w:rPr>
        <w:t xml:space="preserve">Ainsi, la valeur </w:t>
      </w:r>
      <w:r w:rsidR="00186302">
        <w:rPr>
          <w:b/>
          <w:i/>
        </w:rPr>
        <w:t xml:space="preserve">municipale </w:t>
      </w:r>
      <w:r w:rsidR="005544DB" w:rsidRPr="00102957">
        <w:rPr>
          <w:b/>
          <w:i/>
        </w:rPr>
        <w:t xml:space="preserve">ne correspond aucunement à la valeur </w:t>
      </w:r>
      <w:r w:rsidR="005544DB">
        <w:rPr>
          <w:b/>
          <w:i/>
        </w:rPr>
        <w:t xml:space="preserve">marchande </w:t>
      </w:r>
      <w:r w:rsidR="005544DB" w:rsidRPr="00102957">
        <w:rPr>
          <w:b/>
          <w:i/>
        </w:rPr>
        <w:t>de votre propriété en date d</w:t>
      </w:r>
      <w:r w:rsidR="0045255E">
        <w:rPr>
          <w:b/>
          <w:i/>
        </w:rPr>
        <w:t xml:space="preserve">e 2021, </w:t>
      </w:r>
      <w:r w:rsidR="00946E73">
        <w:rPr>
          <w:b/>
          <w:i/>
        </w:rPr>
        <w:t>mais plutôt en date de juillet 2019</w:t>
      </w:r>
      <w:r w:rsidR="005544DB" w:rsidRPr="00102957">
        <w:rPr>
          <w:b/>
          <w:i/>
        </w:rPr>
        <w:t>.</w:t>
      </w:r>
      <w:r w:rsidR="005544DB">
        <w:t xml:space="preserve"> </w:t>
      </w:r>
    </w:p>
    <w:p w:rsidR="00983420" w:rsidRPr="0017214B" w:rsidRDefault="00983420" w:rsidP="00983420">
      <w:pPr>
        <w:rPr>
          <w:b/>
        </w:rPr>
      </w:pPr>
      <w:r>
        <w:rPr>
          <w:b/>
        </w:rPr>
        <w:t>Comment la ville établie votre évaluation municipale</w:t>
      </w:r>
    </w:p>
    <w:p w:rsidR="00983420" w:rsidRDefault="00983420" w:rsidP="00983420">
      <w:r>
        <w:t>La valeur municipale est calculée à partir d’un logiciel d’évaluation de masse où</w:t>
      </w:r>
      <w:r w:rsidRPr="00CD0D2A">
        <w:t xml:space="preserve"> les propriétés sont évaluées par groupe, secteur ou type et non individuellement comme pourrait le faire un évaluateur professionnel</w:t>
      </w:r>
      <w:r>
        <w:t xml:space="preserve"> pour d’autres fins (p. ex. hypothèque, cession, achat, etc.)</w:t>
      </w:r>
      <w:r w:rsidRPr="00CD0D2A">
        <w:t>.</w:t>
      </w:r>
      <w:r>
        <w:t xml:space="preserve"> </w:t>
      </w:r>
    </w:p>
    <w:p w:rsidR="00983420" w:rsidRDefault="00983420" w:rsidP="00983420">
      <w:r>
        <w:t>Comme tout système informatisé, la qualité des intrants (propriété à évaluer, rénovations, ventes, etc.) est très importante et assure la qualité des résultats qui en découle. Ainsi, le type d’améliorations apportées à la propriété prend tout son sens au niveau municipal.</w:t>
      </w:r>
    </w:p>
    <w:p w:rsidR="00983420" w:rsidRDefault="00983420" w:rsidP="00983420">
      <w:r>
        <w:t>À la base, le logiciel prend en compte les données sur chaque propriété à évaluer ainsi que sur les propriétés qui ont fait l’objet d’une vente. L’analyse se fait donc par un processus de comparaison entre les ventes les plus pertinentes et votre propriété. Pour l’évaluateur municipal, la pleine connaissance des ventes et de votre propriété devient donc essentielle afin que le résultat soit juste et équitable.</w:t>
      </w:r>
    </w:p>
    <w:p w:rsidR="00983420" w:rsidRDefault="00983420" w:rsidP="00983420">
      <w:pPr>
        <w:rPr>
          <w:b/>
          <w:i/>
        </w:rPr>
      </w:pPr>
      <w:r w:rsidRPr="0017214B">
        <w:rPr>
          <w:b/>
          <w:i/>
        </w:rPr>
        <w:t xml:space="preserve">Il va sans dire que la méconnaissance de l’état du sujet ou des ventes peut amener l’évaluateur municipal à émettre de fausses hypothèses. </w:t>
      </w:r>
    </w:p>
    <w:p w:rsidR="00983420" w:rsidRDefault="00983420" w:rsidP="00983420">
      <w:r>
        <w:t xml:space="preserve">Votre évaluation municipale comprend deux parties, soit la valeur du terrain et la valeur du bâtiment. Vous remarquerez que la valeur du terrain a sûrement augmenté. C’est tout à fait normal car, dans les faits, nous sommes dans un secteur mature, où l’ensemble des terrains sont déjà développés. En contrepartie, la valeur du bâtiment peut fluctuer, mais il y a matière à se questionner si celle-ci a augmenté de façon significative, surtout si vous n’avez apporté aucune modification ou rénovation au bâtiment depuis le dernier rôle (en date de juillet 2016). </w:t>
      </w:r>
    </w:p>
    <w:p w:rsidR="00983420" w:rsidRPr="002A2EEB" w:rsidRDefault="00983420" w:rsidP="00983420">
      <w:pPr>
        <w:rPr>
          <w:b/>
        </w:rPr>
      </w:pPr>
      <w:r>
        <w:rPr>
          <w:b/>
        </w:rPr>
        <w:lastRenderedPageBreak/>
        <w:t>Rénovation ou</w:t>
      </w:r>
      <w:r w:rsidRPr="002A2EEB">
        <w:rPr>
          <w:b/>
        </w:rPr>
        <w:t xml:space="preserve"> </w:t>
      </w:r>
      <w:r>
        <w:rPr>
          <w:b/>
        </w:rPr>
        <w:t>m</w:t>
      </w:r>
      <w:r w:rsidRPr="002A2EEB">
        <w:rPr>
          <w:b/>
        </w:rPr>
        <w:t>ise-à-</w:t>
      </w:r>
      <w:r>
        <w:rPr>
          <w:b/>
        </w:rPr>
        <w:t>niveau</w:t>
      </w:r>
    </w:p>
    <w:p w:rsidR="00983420" w:rsidRPr="0017214B" w:rsidRDefault="00983420" w:rsidP="00983420">
      <w:pPr>
        <w:rPr>
          <w:i/>
        </w:rPr>
      </w:pPr>
      <w:r>
        <w:t xml:space="preserve">Une rénovation améliore la propriété alors qu’une mise-à-niveau sert plutôt à maintenir celle-ci dans un état acceptable. Par exemple, refaire une cuisine devient une rénovation mais simplement repeindre ou changer les revêtements de sol devrait plutôt être considéré comme un entretien ou une mise-à-niveau. </w:t>
      </w:r>
      <w:r w:rsidRPr="0017214B">
        <w:rPr>
          <w:b/>
          <w:i/>
        </w:rPr>
        <w:t>Dans le cas d’une rénovation, il y aura un impact sur la valeur municipale mais dans une mise-à-niveau, l’impact sera nul ou minime.</w:t>
      </w:r>
      <w:r w:rsidRPr="0017214B">
        <w:rPr>
          <w:i/>
        </w:rPr>
        <w:t xml:space="preserve"> </w:t>
      </w:r>
    </w:p>
    <w:p w:rsidR="005544DB" w:rsidRPr="005544DB" w:rsidRDefault="005544DB">
      <w:pPr>
        <w:rPr>
          <w:b/>
        </w:rPr>
      </w:pPr>
      <w:r w:rsidRPr="005544DB">
        <w:rPr>
          <w:b/>
        </w:rPr>
        <w:t>Quelques statistiques</w:t>
      </w:r>
    </w:p>
    <w:p w:rsidR="0065296E" w:rsidRDefault="00946E73">
      <w:r>
        <w:t xml:space="preserve">La Ville publie des informations sur le rôle municipal qui pourrait être d’intérêt. </w:t>
      </w:r>
      <w:r w:rsidR="008153FC">
        <w:t>Grâce à ces données</w:t>
      </w:r>
      <w:r>
        <w:t xml:space="preserve">, on peut </w:t>
      </w:r>
      <w:r w:rsidR="00AA6666">
        <w:t>observer l’évolution des évaluations municipales</w:t>
      </w:r>
      <w:r>
        <w:t xml:space="preserve"> à travers les années.</w:t>
      </w:r>
    </w:p>
    <w:p w:rsidR="006E2352" w:rsidRDefault="008153FC">
      <w:r>
        <w:t>Plus particulièrement, elles</w:t>
      </w:r>
      <w:r w:rsidR="00AA6666">
        <w:t xml:space="preserve"> nous permettent de faire un parallèle entre la dernière évaluation municipale</w:t>
      </w:r>
      <w:r w:rsidR="00946E73">
        <w:t>,</w:t>
      </w:r>
      <w:r w:rsidR="005544DB">
        <w:t xml:space="preserve"> dont la date de référence est juillet 2016</w:t>
      </w:r>
      <w:r w:rsidR="00946E73">
        <w:t>,</w:t>
      </w:r>
      <w:r w:rsidR="005544DB">
        <w:t xml:space="preserve"> et celle d’aujourd’hui</w:t>
      </w:r>
      <w:r w:rsidR="00DA72EE">
        <w:t xml:space="preserve"> </w:t>
      </w:r>
      <w:r w:rsidR="00946E73">
        <w:t xml:space="preserve">qui est </w:t>
      </w:r>
      <w:r w:rsidR="00DA72EE">
        <w:t xml:space="preserve">en </w:t>
      </w:r>
      <w:r w:rsidR="005544DB">
        <w:t xml:space="preserve">date de juillet </w:t>
      </w:r>
      <w:r w:rsidR="00AA6666">
        <w:t xml:space="preserve">2019. </w:t>
      </w:r>
    </w:p>
    <w:p w:rsidR="00186302" w:rsidRDefault="00132087">
      <w:r>
        <w:t xml:space="preserve">Afin de vous situer, </w:t>
      </w:r>
      <w:r w:rsidR="0045255E">
        <w:t xml:space="preserve">j’ai découpé </w:t>
      </w:r>
      <w:r>
        <w:t>le secte</w:t>
      </w:r>
      <w:r w:rsidR="0045255E">
        <w:t>ur des Jardins Taché</w:t>
      </w:r>
      <w:r>
        <w:t xml:space="preserve"> en</w:t>
      </w:r>
      <w:r w:rsidR="00AA6666">
        <w:t xml:space="preserve"> trois sous-secteurs, soit</w:t>
      </w:r>
      <w:r w:rsidR="00186302">
        <w:t> :</w:t>
      </w:r>
    </w:p>
    <w:p w:rsidR="00186302" w:rsidRDefault="00AA6666" w:rsidP="00186302">
      <w:pPr>
        <w:pStyle w:val="Paragraphedeliste"/>
        <w:numPr>
          <w:ilvl w:val="0"/>
          <w:numId w:val="2"/>
        </w:numPr>
      </w:pPr>
      <w:r>
        <w:t xml:space="preserve"> </w:t>
      </w:r>
      <w:proofErr w:type="gramStart"/>
      <w:r>
        <w:t>la</w:t>
      </w:r>
      <w:proofErr w:type="gramEnd"/>
      <w:r>
        <w:t xml:space="preserve"> partie ‘’est’’</w:t>
      </w:r>
      <w:r w:rsidR="00DA72EE">
        <w:t> :</w:t>
      </w:r>
      <w:r>
        <w:t xml:space="preserve"> </w:t>
      </w:r>
      <w:r w:rsidR="00DA72EE">
        <w:t xml:space="preserve">De Duguay à Saint-François, soit </w:t>
      </w:r>
      <w:r>
        <w:t>Gabriel-Lacasse</w:t>
      </w:r>
      <w:r w:rsidR="00DA72EE">
        <w:t>, Duguay</w:t>
      </w:r>
      <w:r>
        <w:t xml:space="preserve"> et </w:t>
      </w:r>
      <w:proofErr w:type="spellStart"/>
      <w:r>
        <w:t>Monci</w:t>
      </w:r>
      <w:r w:rsidR="00133F62">
        <w:t>on</w:t>
      </w:r>
      <w:proofErr w:type="spellEnd"/>
      <w:r>
        <w:t>;</w:t>
      </w:r>
    </w:p>
    <w:p w:rsidR="00186302" w:rsidRDefault="00AA6666" w:rsidP="00186302">
      <w:pPr>
        <w:pStyle w:val="Paragraphedeliste"/>
        <w:numPr>
          <w:ilvl w:val="0"/>
          <w:numId w:val="2"/>
        </w:numPr>
      </w:pPr>
      <w:r>
        <w:t xml:space="preserve"> </w:t>
      </w:r>
      <w:proofErr w:type="gramStart"/>
      <w:r>
        <w:t>la</w:t>
      </w:r>
      <w:proofErr w:type="gramEnd"/>
      <w:r>
        <w:t xml:space="preserve"> partie ‘’ouest’’</w:t>
      </w:r>
      <w:r w:rsidR="00DA72EE">
        <w:t xml:space="preserve"> : </w:t>
      </w:r>
      <w:r w:rsidR="00133F62">
        <w:t xml:space="preserve">De Duguay à </w:t>
      </w:r>
      <w:r w:rsidR="00DA72EE">
        <w:t>Saint-Dominique</w:t>
      </w:r>
      <w:r w:rsidR="00133F62">
        <w:t xml:space="preserve">, soit Gabriel-Lacasse, </w:t>
      </w:r>
      <w:proofErr w:type="spellStart"/>
      <w:r w:rsidR="00133F62">
        <w:t>Moncion</w:t>
      </w:r>
      <w:proofErr w:type="spellEnd"/>
      <w:r w:rsidR="00133F62">
        <w:t xml:space="preserve"> et Saint-Dominique </w:t>
      </w:r>
      <w:r w:rsidR="00DA72EE">
        <w:t>(excluant les duplex)</w:t>
      </w:r>
      <w:r w:rsidR="006E2352">
        <w:t>;</w:t>
      </w:r>
    </w:p>
    <w:p w:rsidR="004E6E53" w:rsidRDefault="00186302" w:rsidP="00186302">
      <w:pPr>
        <w:pStyle w:val="Paragraphedeliste"/>
        <w:numPr>
          <w:ilvl w:val="0"/>
          <w:numId w:val="2"/>
        </w:numPr>
      </w:pPr>
      <w:proofErr w:type="gramStart"/>
      <w:r>
        <w:t>l</w:t>
      </w:r>
      <w:r w:rsidR="00AA6666">
        <w:t>e</w:t>
      </w:r>
      <w:proofErr w:type="gramEnd"/>
      <w:r w:rsidR="00AA6666">
        <w:t xml:space="preserve"> ‘’nouveau secteur’’</w:t>
      </w:r>
      <w:r w:rsidR="00133F62">
        <w:t xml:space="preserve"> : Les </w:t>
      </w:r>
      <w:r w:rsidR="00AA6666">
        <w:t xml:space="preserve">constructions </w:t>
      </w:r>
      <w:r w:rsidR="006E2352">
        <w:t xml:space="preserve">plus récentes </w:t>
      </w:r>
      <w:r>
        <w:t>de</w:t>
      </w:r>
      <w:r w:rsidR="00794D1A">
        <w:t xml:space="preserve"> la rue Gabriel-Lacasse.</w:t>
      </w:r>
    </w:p>
    <w:p w:rsidR="00186302" w:rsidRDefault="00186302" w:rsidP="00186302">
      <w:r>
        <w:t xml:space="preserve">La répartition </w:t>
      </w:r>
      <w:r w:rsidR="00983420">
        <w:t>que je vous propos</w:t>
      </w:r>
      <w:r>
        <w:t xml:space="preserve">e porte sur le type d’immeuble et ce, </w:t>
      </w:r>
      <w:r w:rsidR="00133F62">
        <w:t>pour</w:t>
      </w:r>
      <w:r w:rsidR="00485D90">
        <w:t xml:space="preserve"> avoir</w:t>
      </w:r>
      <w:r>
        <w:t xml:space="preserve"> une base de référence plus précise. Ainsi, les secteurs ‘’est’’ et ‘’ouest’’ sont essentiellement composés de bâtiments de type ‘’bungalow’’ construits vers la fin des années 1950. Bien qu’il y ait des exceptions, la base de référence est semblable. Par ailleurs, le ‘’nouveau secteur’’ est composé de divers types de constructions </w:t>
      </w:r>
      <w:r w:rsidR="00485D90">
        <w:t>plus récentes.</w:t>
      </w:r>
    </w:p>
    <w:tbl>
      <w:tblPr>
        <w:tblStyle w:val="Grilledutableau"/>
        <w:tblW w:w="0" w:type="auto"/>
        <w:tblInd w:w="534" w:type="dxa"/>
        <w:tblLook w:val="04A0" w:firstRow="1" w:lastRow="0" w:firstColumn="1" w:lastColumn="0" w:noHBand="0" w:noVBand="1"/>
      </w:tblPr>
      <w:tblGrid>
        <w:gridCol w:w="2126"/>
        <w:gridCol w:w="1730"/>
        <w:gridCol w:w="1672"/>
        <w:gridCol w:w="1701"/>
      </w:tblGrid>
      <w:tr w:rsidR="00220EBA" w:rsidRPr="004B1EEE" w:rsidTr="00FA1F0E">
        <w:tc>
          <w:tcPr>
            <w:tcW w:w="7229" w:type="dxa"/>
            <w:gridSpan w:val="4"/>
          </w:tcPr>
          <w:p w:rsidR="00220EBA" w:rsidRPr="004B1EEE" w:rsidRDefault="00220EBA" w:rsidP="00220EBA">
            <w:pPr>
              <w:jc w:val="center"/>
              <w:rPr>
                <w:b/>
                <w:sz w:val="20"/>
                <w:szCs w:val="20"/>
              </w:rPr>
            </w:pPr>
            <w:r w:rsidRPr="004B1EEE">
              <w:rPr>
                <w:b/>
                <w:sz w:val="20"/>
                <w:szCs w:val="20"/>
              </w:rPr>
              <w:t>Secteur est</w:t>
            </w:r>
            <w:r w:rsidR="00324319" w:rsidRPr="004B1EEE">
              <w:rPr>
                <w:b/>
                <w:sz w:val="20"/>
                <w:szCs w:val="20"/>
              </w:rPr>
              <w:t xml:space="preserve"> – 58 propriétés</w:t>
            </w:r>
          </w:p>
        </w:tc>
      </w:tr>
      <w:tr w:rsidR="00220EBA" w:rsidRPr="004B1EEE" w:rsidTr="00FA1F0E">
        <w:tc>
          <w:tcPr>
            <w:tcW w:w="2126" w:type="dxa"/>
          </w:tcPr>
          <w:p w:rsidR="00220EBA" w:rsidRPr="004B1EEE" w:rsidRDefault="00220EBA" w:rsidP="00324319">
            <w:pPr>
              <w:jc w:val="center"/>
              <w:rPr>
                <w:b/>
                <w:sz w:val="20"/>
                <w:szCs w:val="20"/>
              </w:rPr>
            </w:pPr>
          </w:p>
        </w:tc>
        <w:tc>
          <w:tcPr>
            <w:tcW w:w="1730" w:type="dxa"/>
          </w:tcPr>
          <w:p w:rsidR="00220EBA" w:rsidRPr="004B1EEE" w:rsidRDefault="00324319" w:rsidP="00324319">
            <w:pPr>
              <w:jc w:val="center"/>
              <w:rPr>
                <w:b/>
                <w:sz w:val="20"/>
                <w:szCs w:val="20"/>
              </w:rPr>
            </w:pPr>
            <w:r w:rsidRPr="004B1EEE">
              <w:rPr>
                <w:b/>
                <w:sz w:val="20"/>
                <w:szCs w:val="20"/>
              </w:rPr>
              <w:t>2016</w:t>
            </w:r>
          </w:p>
        </w:tc>
        <w:tc>
          <w:tcPr>
            <w:tcW w:w="1672" w:type="dxa"/>
          </w:tcPr>
          <w:p w:rsidR="00220EBA" w:rsidRPr="004B1EEE" w:rsidRDefault="00324319" w:rsidP="00324319">
            <w:pPr>
              <w:jc w:val="center"/>
              <w:rPr>
                <w:b/>
                <w:sz w:val="20"/>
                <w:szCs w:val="20"/>
              </w:rPr>
            </w:pPr>
            <w:r w:rsidRPr="004B1EEE">
              <w:rPr>
                <w:b/>
                <w:sz w:val="20"/>
                <w:szCs w:val="20"/>
              </w:rPr>
              <w:t>2019</w:t>
            </w:r>
          </w:p>
        </w:tc>
        <w:tc>
          <w:tcPr>
            <w:tcW w:w="1701" w:type="dxa"/>
          </w:tcPr>
          <w:p w:rsidR="00220EBA" w:rsidRPr="004B1EEE" w:rsidRDefault="00324319" w:rsidP="00324319">
            <w:pPr>
              <w:jc w:val="center"/>
              <w:rPr>
                <w:b/>
                <w:sz w:val="20"/>
                <w:szCs w:val="20"/>
              </w:rPr>
            </w:pPr>
            <w:r w:rsidRPr="004B1EEE">
              <w:rPr>
                <w:b/>
                <w:sz w:val="20"/>
                <w:szCs w:val="20"/>
              </w:rPr>
              <w:t>Variation</w:t>
            </w:r>
          </w:p>
        </w:tc>
      </w:tr>
      <w:tr w:rsidR="00220EBA" w:rsidRPr="004B1EEE" w:rsidTr="00FA1F0E">
        <w:tc>
          <w:tcPr>
            <w:tcW w:w="2126" w:type="dxa"/>
          </w:tcPr>
          <w:p w:rsidR="00220EBA" w:rsidRPr="004B1EEE" w:rsidRDefault="00324319">
            <w:pPr>
              <w:rPr>
                <w:sz w:val="20"/>
                <w:szCs w:val="20"/>
              </w:rPr>
            </w:pPr>
            <w:r w:rsidRPr="004B1EEE">
              <w:rPr>
                <w:sz w:val="20"/>
                <w:szCs w:val="20"/>
              </w:rPr>
              <w:t>Valeur moyenne</w:t>
            </w:r>
          </w:p>
        </w:tc>
        <w:tc>
          <w:tcPr>
            <w:tcW w:w="1730" w:type="dxa"/>
          </w:tcPr>
          <w:p w:rsidR="00220EBA" w:rsidRPr="004B1EEE" w:rsidRDefault="00324319" w:rsidP="00324319">
            <w:pPr>
              <w:jc w:val="center"/>
              <w:rPr>
                <w:sz w:val="20"/>
                <w:szCs w:val="20"/>
              </w:rPr>
            </w:pPr>
            <w:r w:rsidRPr="004B1EEE">
              <w:rPr>
                <w:rFonts w:ascii="Calibri" w:hAnsi="Calibri" w:cs="Calibri"/>
                <w:bCs/>
                <w:color w:val="000000"/>
                <w:sz w:val="20"/>
                <w:szCs w:val="20"/>
              </w:rPr>
              <w:t>337 929 $</w:t>
            </w:r>
          </w:p>
        </w:tc>
        <w:tc>
          <w:tcPr>
            <w:tcW w:w="1672" w:type="dxa"/>
          </w:tcPr>
          <w:p w:rsidR="00220EBA" w:rsidRPr="004B1EEE" w:rsidRDefault="00324319" w:rsidP="00324319">
            <w:pPr>
              <w:jc w:val="center"/>
              <w:rPr>
                <w:sz w:val="20"/>
                <w:szCs w:val="20"/>
              </w:rPr>
            </w:pPr>
            <w:r w:rsidRPr="004B1EEE">
              <w:rPr>
                <w:rFonts w:ascii="Calibri" w:hAnsi="Calibri" w:cs="Calibri"/>
                <w:bCs/>
                <w:color w:val="000000"/>
                <w:sz w:val="20"/>
                <w:szCs w:val="20"/>
              </w:rPr>
              <w:t>343 934 $</w:t>
            </w:r>
          </w:p>
        </w:tc>
        <w:tc>
          <w:tcPr>
            <w:tcW w:w="1701" w:type="dxa"/>
          </w:tcPr>
          <w:p w:rsidR="00220EBA" w:rsidRPr="004B1EEE" w:rsidRDefault="00324319" w:rsidP="00324319">
            <w:pPr>
              <w:jc w:val="center"/>
              <w:rPr>
                <w:sz w:val="20"/>
                <w:szCs w:val="20"/>
              </w:rPr>
            </w:pPr>
            <w:r w:rsidRPr="004B1EEE">
              <w:rPr>
                <w:sz w:val="20"/>
                <w:szCs w:val="20"/>
              </w:rPr>
              <w:t>2%</w:t>
            </w:r>
          </w:p>
        </w:tc>
      </w:tr>
      <w:tr w:rsidR="00220EBA" w:rsidRPr="004B1EEE" w:rsidTr="00FA1F0E">
        <w:tc>
          <w:tcPr>
            <w:tcW w:w="2126" w:type="dxa"/>
          </w:tcPr>
          <w:p w:rsidR="00220EBA" w:rsidRPr="004B1EEE" w:rsidRDefault="00324319">
            <w:pPr>
              <w:rPr>
                <w:sz w:val="20"/>
                <w:szCs w:val="20"/>
              </w:rPr>
            </w:pPr>
            <w:r w:rsidRPr="004B1EEE">
              <w:rPr>
                <w:sz w:val="20"/>
                <w:szCs w:val="20"/>
              </w:rPr>
              <w:t>Valeur la plus basse</w:t>
            </w:r>
          </w:p>
        </w:tc>
        <w:tc>
          <w:tcPr>
            <w:tcW w:w="1730" w:type="dxa"/>
          </w:tcPr>
          <w:p w:rsidR="00220EBA" w:rsidRPr="004B1EEE" w:rsidRDefault="00324319" w:rsidP="00324319">
            <w:pPr>
              <w:jc w:val="center"/>
              <w:rPr>
                <w:sz w:val="20"/>
                <w:szCs w:val="20"/>
              </w:rPr>
            </w:pPr>
            <w:r w:rsidRPr="004B1EEE">
              <w:rPr>
                <w:sz w:val="20"/>
                <w:szCs w:val="20"/>
              </w:rPr>
              <w:t>290 400 $</w:t>
            </w:r>
          </w:p>
        </w:tc>
        <w:tc>
          <w:tcPr>
            <w:tcW w:w="1672" w:type="dxa"/>
          </w:tcPr>
          <w:p w:rsidR="00220EBA" w:rsidRPr="004B1EEE" w:rsidRDefault="00324319" w:rsidP="00324319">
            <w:pPr>
              <w:jc w:val="center"/>
              <w:rPr>
                <w:sz w:val="20"/>
                <w:szCs w:val="20"/>
              </w:rPr>
            </w:pPr>
            <w:r w:rsidRPr="004B1EEE">
              <w:rPr>
                <w:sz w:val="20"/>
                <w:szCs w:val="20"/>
              </w:rPr>
              <w:t>285 600 $</w:t>
            </w:r>
          </w:p>
        </w:tc>
        <w:tc>
          <w:tcPr>
            <w:tcW w:w="1701" w:type="dxa"/>
          </w:tcPr>
          <w:p w:rsidR="00220EBA" w:rsidRPr="004B1EEE" w:rsidRDefault="00324319" w:rsidP="00324319">
            <w:pPr>
              <w:jc w:val="center"/>
              <w:rPr>
                <w:sz w:val="20"/>
                <w:szCs w:val="20"/>
              </w:rPr>
            </w:pPr>
            <w:r w:rsidRPr="004B1EEE">
              <w:rPr>
                <w:sz w:val="20"/>
                <w:szCs w:val="20"/>
              </w:rPr>
              <w:t>-2%</w:t>
            </w:r>
          </w:p>
        </w:tc>
      </w:tr>
      <w:tr w:rsidR="00220EBA" w:rsidRPr="004B1EEE" w:rsidTr="00FA1F0E">
        <w:tc>
          <w:tcPr>
            <w:tcW w:w="2126" w:type="dxa"/>
          </w:tcPr>
          <w:p w:rsidR="00220EBA" w:rsidRPr="004B1EEE" w:rsidRDefault="00324319">
            <w:pPr>
              <w:rPr>
                <w:sz w:val="20"/>
                <w:szCs w:val="20"/>
              </w:rPr>
            </w:pPr>
            <w:r w:rsidRPr="004B1EEE">
              <w:rPr>
                <w:sz w:val="20"/>
                <w:szCs w:val="20"/>
              </w:rPr>
              <w:t>Valeur la plus haute</w:t>
            </w:r>
          </w:p>
        </w:tc>
        <w:tc>
          <w:tcPr>
            <w:tcW w:w="1730" w:type="dxa"/>
          </w:tcPr>
          <w:p w:rsidR="00220EBA" w:rsidRPr="004B1EEE" w:rsidRDefault="00324319" w:rsidP="00324319">
            <w:pPr>
              <w:jc w:val="center"/>
              <w:rPr>
                <w:sz w:val="20"/>
                <w:szCs w:val="20"/>
              </w:rPr>
            </w:pPr>
            <w:r w:rsidRPr="004B1EEE">
              <w:rPr>
                <w:sz w:val="20"/>
                <w:szCs w:val="20"/>
              </w:rPr>
              <w:t>451 800 $</w:t>
            </w:r>
          </w:p>
        </w:tc>
        <w:tc>
          <w:tcPr>
            <w:tcW w:w="1672" w:type="dxa"/>
          </w:tcPr>
          <w:p w:rsidR="00220EBA" w:rsidRPr="004B1EEE" w:rsidRDefault="00324319" w:rsidP="00324319">
            <w:pPr>
              <w:jc w:val="center"/>
              <w:rPr>
                <w:sz w:val="20"/>
                <w:szCs w:val="20"/>
              </w:rPr>
            </w:pPr>
            <w:r w:rsidRPr="004B1EEE">
              <w:rPr>
                <w:sz w:val="20"/>
                <w:szCs w:val="20"/>
              </w:rPr>
              <w:t>470 100 $</w:t>
            </w:r>
          </w:p>
        </w:tc>
        <w:tc>
          <w:tcPr>
            <w:tcW w:w="1701" w:type="dxa"/>
          </w:tcPr>
          <w:p w:rsidR="00220EBA" w:rsidRPr="004B1EEE" w:rsidRDefault="00324319" w:rsidP="00324319">
            <w:pPr>
              <w:jc w:val="center"/>
              <w:rPr>
                <w:sz w:val="20"/>
                <w:szCs w:val="20"/>
              </w:rPr>
            </w:pPr>
            <w:r w:rsidRPr="004B1EEE">
              <w:rPr>
                <w:sz w:val="20"/>
                <w:szCs w:val="20"/>
              </w:rPr>
              <w:t>4%</w:t>
            </w:r>
          </w:p>
        </w:tc>
      </w:tr>
      <w:tr w:rsidR="00324319" w:rsidRPr="004B1EEE" w:rsidTr="00FA1F0E">
        <w:tc>
          <w:tcPr>
            <w:tcW w:w="2126" w:type="dxa"/>
          </w:tcPr>
          <w:p w:rsidR="00324319" w:rsidRPr="004B1EEE" w:rsidRDefault="00324319">
            <w:pPr>
              <w:rPr>
                <w:sz w:val="20"/>
                <w:szCs w:val="20"/>
              </w:rPr>
            </w:pPr>
            <w:r w:rsidRPr="004B1EEE">
              <w:rPr>
                <w:sz w:val="20"/>
                <w:szCs w:val="20"/>
              </w:rPr>
              <w:t>Baisse de valeur (#)</w:t>
            </w:r>
          </w:p>
        </w:tc>
        <w:tc>
          <w:tcPr>
            <w:tcW w:w="5103" w:type="dxa"/>
            <w:gridSpan w:val="3"/>
          </w:tcPr>
          <w:p w:rsidR="00324319" w:rsidRPr="004B1EEE" w:rsidRDefault="00324319" w:rsidP="00324319">
            <w:pPr>
              <w:jc w:val="center"/>
              <w:rPr>
                <w:sz w:val="20"/>
                <w:szCs w:val="20"/>
              </w:rPr>
            </w:pPr>
            <w:r w:rsidRPr="004B1EEE">
              <w:rPr>
                <w:sz w:val="20"/>
                <w:szCs w:val="20"/>
              </w:rPr>
              <w:t>24</w:t>
            </w:r>
          </w:p>
        </w:tc>
      </w:tr>
      <w:tr w:rsidR="00324319" w:rsidRPr="004B1EEE" w:rsidTr="00FA1F0E">
        <w:tc>
          <w:tcPr>
            <w:tcW w:w="2126" w:type="dxa"/>
          </w:tcPr>
          <w:p w:rsidR="00324319" w:rsidRPr="004B1EEE" w:rsidRDefault="00324319">
            <w:pPr>
              <w:rPr>
                <w:sz w:val="20"/>
                <w:szCs w:val="20"/>
              </w:rPr>
            </w:pPr>
            <w:r w:rsidRPr="004B1EEE">
              <w:rPr>
                <w:sz w:val="20"/>
                <w:szCs w:val="20"/>
              </w:rPr>
              <w:t>Baisse de valeur (%)</w:t>
            </w:r>
          </w:p>
        </w:tc>
        <w:tc>
          <w:tcPr>
            <w:tcW w:w="5103" w:type="dxa"/>
            <w:gridSpan w:val="3"/>
          </w:tcPr>
          <w:p w:rsidR="00324319" w:rsidRPr="004B1EEE" w:rsidRDefault="00324319" w:rsidP="00324319">
            <w:pPr>
              <w:jc w:val="center"/>
              <w:rPr>
                <w:sz w:val="20"/>
                <w:szCs w:val="20"/>
              </w:rPr>
            </w:pPr>
            <w:r w:rsidRPr="004B1EEE">
              <w:rPr>
                <w:sz w:val="20"/>
                <w:szCs w:val="20"/>
              </w:rPr>
              <w:t>41%</w:t>
            </w:r>
          </w:p>
        </w:tc>
      </w:tr>
    </w:tbl>
    <w:p w:rsidR="00220EBA" w:rsidRDefault="00220EBA"/>
    <w:tbl>
      <w:tblPr>
        <w:tblStyle w:val="Grilledutableau"/>
        <w:tblW w:w="0" w:type="auto"/>
        <w:tblInd w:w="534" w:type="dxa"/>
        <w:tblLook w:val="04A0" w:firstRow="1" w:lastRow="0" w:firstColumn="1" w:lastColumn="0" w:noHBand="0" w:noVBand="1"/>
      </w:tblPr>
      <w:tblGrid>
        <w:gridCol w:w="2126"/>
        <w:gridCol w:w="1730"/>
        <w:gridCol w:w="1672"/>
        <w:gridCol w:w="1701"/>
      </w:tblGrid>
      <w:tr w:rsidR="00324319" w:rsidRPr="004B1EEE" w:rsidTr="00FA1F0E">
        <w:tc>
          <w:tcPr>
            <w:tcW w:w="7229" w:type="dxa"/>
            <w:gridSpan w:val="4"/>
          </w:tcPr>
          <w:p w:rsidR="00324319" w:rsidRPr="004B1EEE" w:rsidRDefault="00324319" w:rsidP="009E4339">
            <w:pPr>
              <w:jc w:val="center"/>
              <w:rPr>
                <w:b/>
                <w:sz w:val="20"/>
                <w:szCs w:val="20"/>
              </w:rPr>
            </w:pPr>
            <w:r w:rsidRPr="004B1EEE">
              <w:rPr>
                <w:b/>
                <w:sz w:val="20"/>
                <w:szCs w:val="20"/>
              </w:rPr>
              <w:t>Secteur ouest – 58 propriétés</w:t>
            </w:r>
          </w:p>
        </w:tc>
      </w:tr>
      <w:tr w:rsidR="00324319" w:rsidRPr="004B1EEE" w:rsidTr="00FA1F0E">
        <w:tc>
          <w:tcPr>
            <w:tcW w:w="2126" w:type="dxa"/>
          </w:tcPr>
          <w:p w:rsidR="00324319" w:rsidRPr="004B1EEE" w:rsidRDefault="00324319" w:rsidP="009E4339">
            <w:pPr>
              <w:jc w:val="center"/>
              <w:rPr>
                <w:b/>
                <w:sz w:val="20"/>
                <w:szCs w:val="20"/>
              </w:rPr>
            </w:pPr>
          </w:p>
        </w:tc>
        <w:tc>
          <w:tcPr>
            <w:tcW w:w="1730" w:type="dxa"/>
          </w:tcPr>
          <w:p w:rsidR="00324319" w:rsidRPr="004B1EEE" w:rsidRDefault="00324319" w:rsidP="009E4339">
            <w:pPr>
              <w:jc w:val="center"/>
              <w:rPr>
                <w:b/>
                <w:sz w:val="20"/>
                <w:szCs w:val="20"/>
              </w:rPr>
            </w:pPr>
            <w:r w:rsidRPr="004B1EEE">
              <w:rPr>
                <w:b/>
                <w:sz w:val="20"/>
                <w:szCs w:val="20"/>
              </w:rPr>
              <w:t>2016</w:t>
            </w:r>
          </w:p>
        </w:tc>
        <w:tc>
          <w:tcPr>
            <w:tcW w:w="1672" w:type="dxa"/>
          </w:tcPr>
          <w:p w:rsidR="00324319" w:rsidRPr="004B1EEE" w:rsidRDefault="00324319" w:rsidP="009E4339">
            <w:pPr>
              <w:jc w:val="center"/>
              <w:rPr>
                <w:b/>
                <w:sz w:val="20"/>
                <w:szCs w:val="20"/>
              </w:rPr>
            </w:pPr>
            <w:r w:rsidRPr="004B1EEE">
              <w:rPr>
                <w:b/>
                <w:sz w:val="20"/>
                <w:szCs w:val="20"/>
              </w:rPr>
              <w:t>2019</w:t>
            </w:r>
          </w:p>
        </w:tc>
        <w:tc>
          <w:tcPr>
            <w:tcW w:w="1701" w:type="dxa"/>
          </w:tcPr>
          <w:p w:rsidR="00324319" w:rsidRPr="004B1EEE" w:rsidRDefault="00324319" w:rsidP="009E4339">
            <w:pPr>
              <w:jc w:val="center"/>
              <w:rPr>
                <w:b/>
                <w:sz w:val="20"/>
                <w:szCs w:val="20"/>
              </w:rPr>
            </w:pPr>
            <w:r w:rsidRPr="004B1EEE">
              <w:rPr>
                <w:b/>
                <w:sz w:val="20"/>
                <w:szCs w:val="20"/>
              </w:rPr>
              <w:t>Variation</w:t>
            </w:r>
          </w:p>
        </w:tc>
      </w:tr>
      <w:tr w:rsidR="00324319" w:rsidRPr="004B1EEE" w:rsidTr="00FA1F0E">
        <w:tc>
          <w:tcPr>
            <w:tcW w:w="2126" w:type="dxa"/>
          </w:tcPr>
          <w:p w:rsidR="00324319" w:rsidRPr="004B1EEE" w:rsidRDefault="00324319" w:rsidP="009E4339">
            <w:pPr>
              <w:rPr>
                <w:sz w:val="20"/>
                <w:szCs w:val="20"/>
              </w:rPr>
            </w:pPr>
            <w:r w:rsidRPr="004B1EEE">
              <w:rPr>
                <w:sz w:val="20"/>
                <w:szCs w:val="20"/>
              </w:rPr>
              <w:t>Valeur moyenne</w:t>
            </w:r>
          </w:p>
        </w:tc>
        <w:tc>
          <w:tcPr>
            <w:tcW w:w="1730" w:type="dxa"/>
          </w:tcPr>
          <w:p w:rsidR="00324319" w:rsidRPr="004B1EEE" w:rsidRDefault="00324319" w:rsidP="009E4339">
            <w:pPr>
              <w:jc w:val="center"/>
              <w:rPr>
                <w:sz w:val="20"/>
                <w:szCs w:val="20"/>
              </w:rPr>
            </w:pPr>
            <w:r w:rsidRPr="004B1EEE">
              <w:rPr>
                <w:rFonts w:ascii="Calibri" w:hAnsi="Calibri" w:cs="Calibri"/>
                <w:bCs/>
                <w:color w:val="000000"/>
                <w:sz w:val="20"/>
                <w:szCs w:val="20"/>
              </w:rPr>
              <w:t>307 566 $</w:t>
            </w:r>
          </w:p>
        </w:tc>
        <w:tc>
          <w:tcPr>
            <w:tcW w:w="1672" w:type="dxa"/>
          </w:tcPr>
          <w:p w:rsidR="00324319" w:rsidRPr="004B1EEE" w:rsidRDefault="002675CD" w:rsidP="009E4339">
            <w:pPr>
              <w:jc w:val="center"/>
              <w:rPr>
                <w:sz w:val="20"/>
                <w:szCs w:val="20"/>
              </w:rPr>
            </w:pPr>
            <w:r w:rsidRPr="004B1EEE">
              <w:rPr>
                <w:rFonts w:ascii="Calibri" w:hAnsi="Calibri" w:cs="Calibri"/>
                <w:bCs/>
                <w:color w:val="000000"/>
                <w:sz w:val="20"/>
                <w:szCs w:val="20"/>
              </w:rPr>
              <w:t>333 097 $</w:t>
            </w:r>
          </w:p>
        </w:tc>
        <w:tc>
          <w:tcPr>
            <w:tcW w:w="1701" w:type="dxa"/>
          </w:tcPr>
          <w:p w:rsidR="00324319" w:rsidRPr="004B1EEE" w:rsidRDefault="002675CD" w:rsidP="009E4339">
            <w:pPr>
              <w:jc w:val="center"/>
              <w:rPr>
                <w:sz w:val="20"/>
                <w:szCs w:val="20"/>
              </w:rPr>
            </w:pPr>
            <w:r w:rsidRPr="004B1EEE">
              <w:rPr>
                <w:sz w:val="20"/>
                <w:szCs w:val="20"/>
              </w:rPr>
              <w:t>8</w:t>
            </w:r>
            <w:r w:rsidR="00324319" w:rsidRPr="004B1EEE">
              <w:rPr>
                <w:sz w:val="20"/>
                <w:szCs w:val="20"/>
              </w:rPr>
              <w:t>%</w:t>
            </w:r>
          </w:p>
        </w:tc>
      </w:tr>
      <w:tr w:rsidR="00324319" w:rsidRPr="004B1EEE" w:rsidTr="00FA1F0E">
        <w:tc>
          <w:tcPr>
            <w:tcW w:w="2126" w:type="dxa"/>
          </w:tcPr>
          <w:p w:rsidR="00324319" w:rsidRPr="004B1EEE" w:rsidRDefault="00324319" w:rsidP="009E4339">
            <w:pPr>
              <w:rPr>
                <w:sz w:val="20"/>
                <w:szCs w:val="20"/>
              </w:rPr>
            </w:pPr>
            <w:r w:rsidRPr="004B1EEE">
              <w:rPr>
                <w:sz w:val="20"/>
                <w:szCs w:val="20"/>
              </w:rPr>
              <w:t>Valeur la plus basse</w:t>
            </w:r>
          </w:p>
        </w:tc>
        <w:tc>
          <w:tcPr>
            <w:tcW w:w="1730" w:type="dxa"/>
          </w:tcPr>
          <w:p w:rsidR="00324319" w:rsidRPr="004B1EEE" w:rsidRDefault="002B2CD4" w:rsidP="009E4339">
            <w:pPr>
              <w:jc w:val="center"/>
              <w:rPr>
                <w:sz w:val="20"/>
                <w:szCs w:val="20"/>
              </w:rPr>
            </w:pPr>
            <w:r w:rsidRPr="004B1EEE">
              <w:rPr>
                <w:sz w:val="20"/>
                <w:szCs w:val="20"/>
              </w:rPr>
              <w:t>252 100 $</w:t>
            </w:r>
          </w:p>
        </w:tc>
        <w:tc>
          <w:tcPr>
            <w:tcW w:w="1672" w:type="dxa"/>
          </w:tcPr>
          <w:p w:rsidR="00324319" w:rsidRPr="004B1EEE" w:rsidRDefault="002B2CD4" w:rsidP="009E4339">
            <w:pPr>
              <w:jc w:val="center"/>
              <w:rPr>
                <w:sz w:val="20"/>
                <w:szCs w:val="20"/>
              </w:rPr>
            </w:pPr>
            <w:r w:rsidRPr="004B1EEE">
              <w:rPr>
                <w:sz w:val="20"/>
                <w:szCs w:val="20"/>
              </w:rPr>
              <w:t>261 800 $</w:t>
            </w:r>
          </w:p>
        </w:tc>
        <w:tc>
          <w:tcPr>
            <w:tcW w:w="1701" w:type="dxa"/>
          </w:tcPr>
          <w:p w:rsidR="00324319" w:rsidRPr="004B1EEE" w:rsidRDefault="00750218" w:rsidP="009E4339">
            <w:pPr>
              <w:jc w:val="center"/>
              <w:rPr>
                <w:sz w:val="20"/>
                <w:szCs w:val="20"/>
              </w:rPr>
            </w:pPr>
            <w:r w:rsidRPr="004B1EEE">
              <w:rPr>
                <w:sz w:val="20"/>
                <w:szCs w:val="20"/>
              </w:rPr>
              <w:t>4%</w:t>
            </w:r>
          </w:p>
        </w:tc>
      </w:tr>
      <w:tr w:rsidR="00324319" w:rsidRPr="004B1EEE" w:rsidTr="00FA1F0E">
        <w:tc>
          <w:tcPr>
            <w:tcW w:w="2126" w:type="dxa"/>
          </w:tcPr>
          <w:p w:rsidR="00324319" w:rsidRPr="004B1EEE" w:rsidRDefault="00324319" w:rsidP="002B2CD4">
            <w:pPr>
              <w:rPr>
                <w:sz w:val="20"/>
                <w:szCs w:val="20"/>
              </w:rPr>
            </w:pPr>
            <w:r w:rsidRPr="004B1EEE">
              <w:rPr>
                <w:sz w:val="20"/>
                <w:szCs w:val="20"/>
              </w:rPr>
              <w:t xml:space="preserve">Valeur la </w:t>
            </w:r>
            <w:r w:rsidR="002B2CD4" w:rsidRPr="004B1EEE">
              <w:rPr>
                <w:sz w:val="20"/>
                <w:szCs w:val="20"/>
              </w:rPr>
              <w:t>plus élevée</w:t>
            </w:r>
          </w:p>
        </w:tc>
        <w:tc>
          <w:tcPr>
            <w:tcW w:w="1730" w:type="dxa"/>
          </w:tcPr>
          <w:p w:rsidR="00324319" w:rsidRPr="004B1EEE" w:rsidRDefault="002B2CD4" w:rsidP="009E4339">
            <w:pPr>
              <w:jc w:val="center"/>
              <w:rPr>
                <w:sz w:val="20"/>
                <w:szCs w:val="20"/>
              </w:rPr>
            </w:pPr>
            <w:r w:rsidRPr="004B1EEE">
              <w:rPr>
                <w:sz w:val="20"/>
                <w:szCs w:val="20"/>
              </w:rPr>
              <w:t>423 000 $</w:t>
            </w:r>
          </w:p>
        </w:tc>
        <w:tc>
          <w:tcPr>
            <w:tcW w:w="1672" w:type="dxa"/>
          </w:tcPr>
          <w:p w:rsidR="00324319" w:rsidRPr="004B1EEE" w:rsidRDefault="00750218" w:rsidP="009E4339">
            <w:pPr>
              <w:jc w:val="center"/>
              <w:rPr>
                <w:sz w:val="20"/>
                <w:szCs w:val="20"/>
              </w:rPr>
            </w:pPr>
            <w:r w:rsidRPr="004B1EEE">
              <w:rPr>
                <w:sz w:val="20"/>
                <w:szCs w:val="20"/>
              </w:rPr>
              <w:t>443 000 $</w:t>
            </w:r>
          </w:p>
        </w:tc>
        <w:tc>
          <w:tcPr>
            <w:tcW w:w="1701" w:type="dxa"/>
          </w:tcPr>
          <w:p w:rsidR="00324319" w:rsidRPr="004B1EEE" w:rsidRDefault="00750218" w:rsidP="009E4339">
            <w:pPr>
              <w:jc w:val="center"/>
              <w:rPr>
                <w:sz w:val="20"/>
                <w:szCs w:val="20"/>
              </w:rPr>
            </w:pPr>
            <w:r w:rsidRPr="004B1EEE">
              <w:rPr>
                <w:sz w:val="20"/>
                <w:szCs w:val="20"/>
              </w:rPr>
              <w:t>5%</w:t>
            </w:r>
          </w:p>
        </w:tc>
      </w:tr>
      <w:tr w:rsidR="00324319" w:rsidRPr="004B1EEE" w:rsidTr="00FA1F0E">
        <w:tc>
          <w:tcPr>
            <w:tcW w:w="2126" w:type="dxa"/>
          </w:tcPr>
          <w:p w:rsidR="00324319" w:rsidRPr="004B1EEE" w:rsidRDefault="00324319" w:rsidP="009E4339">
            <w:pPr>
              <w:rPr>
                <w:sz w:val="20"/>
                <w:szCs w:val="20"/>
              </w:rPr>
            </w:pPr>
            <w:r w:rsidRPr="004B1EEE">
              <w:rPr>
                <w:sz w:val="20"/>
                <w:szCs w:val="20"/>
              </w:rPr>
              <w:t>Baisse de valeur (#)</w:t>
            </w:r>
          </w:p>
        </w:tc>
        <w:tc>
          <w:tcPr>
            <w:tcW w:w="5103" w:type="dxa"/>
            <w:gridSpan w:val="3"/>
          </w:tcPr>
          <w:p w:rsidR="00324319" w:rsidRPr="004B1EEE" w:rsidRDefault="002675CD" w:rsidP="009E4339">
            <w:pPr>
              <w:jc w:val="center"/>
              <w:rPr>
                <w:sz w:val="20"/>
                <w:szCs w:val="20"/>
              </w:rPr>
            </w:pPr>
            <w:r w:rsidRPr="004B1EEE">
              <w:rPr>
                <w:sz w:val="20"/>
                <w:szCs w:val="20"/>
              </w:rPr>
              <w:t>1</w:t>
            </w:r>
            <w:r w:rsidR="00324319" w:rsidRPr="004B1EEE">
              <w:rPr>
                <w:sz w:val="20"/>
                <w:szCs w:val="20"/>
              </w:rPr>
              <w:t>4</w:t>
            </w:r>
          </w:p>
        </w:tc>
      </w:tr>
      <w:tr w:rsidR="00324319" w:rsidRPr="004B1EEE" w:rsidTr="00FA1F0E">
        <w:tc>
          <w:tcPr>
            <w:tcW w:w="2126" w:type="dxa"/>
          </w:tcPr>
          <w:p w:rsidR="00324319" w:rsidRPr="004B1EEE" w:rsidRDefault="00324319" w:rsidP="009E4339">
            <w:pPr>
              <w:rPr>
                <w:sz w:val="20"/>
                <w:szCs w:val="20"/>
              </w:rPr>
            </w:pPr>
            <w:r w:rsidRPr="004B1EEE">
              <w:rPr>
                <w:sz w:val="20"/>
                <w:szCs w:val="20"/>
              </w:rPr>
              <w:t>Baisse de valeur (%)</w:t>
            </w:r>
          </w:p>
        </w:tc>
        <w:tc>
          <w:tcPr>
            <w:tcW w:w="5103" w:type="dxa"/>
            <w:gridSpan w:val="3"/>
          </w:tcPr>
          <w:p w:rsidR="00324319" w:rsidRPr="004B1EEE" w:rsidRDefault="002675CD" w:rsidP="009E4339">
            <w:pPr>
              <w:jc w:val="center"/>
              <w:rPr>
                <w:sz w:val="20"/>
                <w:szCs w:val="20"/>
              </w:rPr>
            </w:pPr>
            <w:r w:rsidRPr="004B1EEE">
              <w:rPr>
                <w:sz w:val="20"/>
                <w:szCs w:val="20"/>
              </w:rPr>
              <w:t>24</w:t>
            </w:r>
            <w:r w:rsidR="00324319" w:rsidRPr="004B1EEE">
              <w:rPr>
                <w:sz w:val="20"/>
                <w:szCs w:val="20"/>
              </w:rPr>
              <w:t>%</w:t>
            </w:r>
          </w:p>
        </w:tc>
      </w:tr>
    </w:tbl>
    <w:p w:rsidR="002675CD" w:rsidRDefault="002675CD">
      <w:pPr>
        <w:rPr>
          <w:sz w:val="20"/>
          <w:szCs w:val="20"/>
        </w:rPr>
      </w:pPr>
    </w:p>
    <w:tbl>
      <w:tblPr>
        <w:tblStyle w:val="Grilledutableau"/>
        <w:tblW w:w="0" w:type="auto"/>
        <w:tblInd w:w="534" w:type="dxa"/>
        <w:tblLook w:val="04A0" w:firstRow="1" w:lastRow="0" w:firstColumn="1" w:lastColumn="0" w:noHBand="0" w:noVBand="1"/>
      </w:tblPr>
      <w:tblGrid>
        <w:gridCol w:w="2126"/>
        <w:gridCol w:w="1730"/>
        <w:gridCol w:w="1672"/>
        <w:gridCol w:w="1701"/>
      </w:tblGrid>
      <w:tr w:rsidR="005544DB" w:rsidRPr="004B1EEE" w:rsidTr="002E1A81">
        <w:tc>
          <w:tcPr>
            <w:tcW w:w="7229" w:type="dxa"/>
            <w:gridSpan w:val="4"/>
          </w:tcPr>
          <w:p w:rsidR="005544DB" w:rsidRPr="004B1EEE" w:rsidRDefault="005544DB" w:rsidP="002E1A81">
            <w:pPr>
              <w:jc w:val="center"/>
              <w:rPr>
                <w:b/>
                <w:sz w:val="20"/>
                <w:szCs w:val="20"/>
              </w:rPr>
            </w:pPr>
            <w:r w:rsidRPr="004B1EEE">
              <w:rPr>
                <w:b/>
                <w:sz w:val="20"/>
                <w:szCs w:val="20"/>
              </w:rPr>
              <w:lastRenderedPageBreak/>
              <w:t>Nouveau secteur – 30 propriétés</w:t>
            </w:r>
          </w:p>
        </w:tc>
      </w:tr>
      <w:tr w:rsidR="005544DB" w:rsidRPr="004B1EEE" w:rsidTr="002E1A81">
        <w:tc>
          <w:tcPr>
            <w:tcW w:w="2126" w:type="dxa"/>
          </w:tcPr>
          <w:p w:rsidR="005544DB" w:rsidRPr="004B1EEE" w:rsidRDefault="005544DB" w:rsidP="002E1A81">
            <w:pPr>
              <w:jc w:val="center"/>
              <w:rPr>
                <w:b/>
                <w:sz w:val="20"/>
                <w:szCs w:val="20"/>
              </w:rPr>
            </w:pPr>
          </w:p>
        </w:tc>
        <w:tc>
          <w:tcPr>
            <w:tcW w:w="1730" w:type="dxa"/>
          </w:tcPr>
          <w:p w:rsidR="005544DB" w:rsidRPr="004B1EEE" w:rsidRDefault="005544DB" w:rsidP="002E1A81">
            <w:pPr>
              <w:jc w:val="center"/>
              <w:rPr>
                <w:b/>
                <w:sz w:val="20"/>
                <w:szCs w:val="20"/>
              </w:rPr>
            </w:pPr>
            <w:r w:rsidRPr="004B1EEE">
              <w:rPr>
                <w:b/>
                <w:sz w:val="20"/>
                <w:szCs w:val="20"/>
              </w:rPr>
              <w:t>2016</w:t>
            </w:r>
          </w:p>
        </w:tc>
        <w:tc>
          <w:tcPr>
            <w:tcW w:w="1672" w:type="dxa"/>
          </w:tcPr>
          <w:p w:rsidR="005544DB" w:rsidRPr="004B1EEE" w:rsidRDefault="005544DB" w:rsidP="002E1A81">
            <w:pPr>
              <w:jc w:val="center"/>
              <w:rPr>
                <w:b/>
                <w:sz w:val="20"/>
                <w:szCs w:val="20"/>
              </w:rPr>
            </w:pPr>
            <w:r w:rsidRPr="004B1EEE">
              <w:rPr>
                <w:b/>
                <w:sz w:val="20"/>
                <w:szCs w:val="20"/>
              </w:rPr>
              <w:t>2019</w:t>
            </w:r>
          </w:p>
        </w:tc>
        <w:tc>
          <w:tcPr>
            <w:tcW w:w="1701" w:type="dxa"/>
          </w:tcPr>
          <w:p w:rsidR="005544DB" w:rsidRPr="004B1EEE" w:rsidRDefault="005544DB" w:rsidP="002E1A81">
            <w:pPr>
              <w:jc w:val="center"/>
              <w:rPr>
                <w:b/>
                <w:sz w:val="20"/>
                <w:szCs w:val="20"/>
              </w:rPr>
            </w:pPr>
            <w:r w:rsidRPr="004B1EEE">
              <w:rPr>
                <w:b/>
                <w:sz w:val="20"/>
                <w:szCs w:val="20"/>
              </w:rPr>
              <w:t>Variation</w:t>
            </w:r>
          </w:p>
        </w:tc>
      </w:tr>
      <w:tr w:rsidR="005544DB" w:rsidRPr="004B1EEE" w:rsidTr="002E1A81">
        <w:tc>
          <w:tcPr>
            <w:tcW w:w="2126" w:type="dxa"/>
          </w:tcPr>
          <w:p w:rsidR="005544DB" w:rsidRPr="004B1EEE" w:rsidRDefault="005544DB" w:rsidP="002E1A81">
            <w:pPr>
              <w:rPr>
                <w:sz w:val="20"/>
                <w:szCs w:val="20"/>
              </w:rPr>
            </w:pPr>
            <w:r w:rsidRPr="004B1EEE">
              <w:rPr>
                <w:sz w:val="20"/>
                <w:szCs w:val="20"/>
              </w:rPr>
              <w:t>Valeur moyenne</w:t>
            </w:r>
          </w:p>
        </w:tc>
        <w:tc>
          <w:tcPr>
            <w:tcW w:w="1730" w:type="dxa"/>
          </w:tcPr>
          <w:p w:rsidR="005544DB" w:rsidRPr="004B1EEE" w:rsidRDefault="005544DB" w:rsidP="002E1A81">
            <w:pPr>
              <w:jc w:val="center"/>
              <w:rPr>
                <w:sz w:val="20"/>
                <w:szCs w:val="20"/>
              </w:rPr>
            </w:pPr>
            <w:r w:rsidRPr="004B1EEE">
              <w:rPr>
                <w:rFonts w:ascii="Calibri" w:hAnsi="Calibri" w:cs="Calibri"/>
                <w:bCs/>
                <w:color w:val="000000"/>
                <w:sz w:val="20"/>
                <w:szCs w:val="20"/>
              </w:rPr>
              <w:t>480 260 $</w:t>
            </w:r>
          </w:p>
        </w:tc>
        <w:tc>
          <w:tcPr>
            <w:tcW w:w="1672" w:type="dxa"/>
          </w:tcPr>
          <w:p w:rsidR="005544DB" w:rsidRPr="004B1EEE" w:rsidRDefault="005544DB" w:rsidP="002E1A81">
            <w:pPr>
              <w:jc w:val="center"/>
              <w:rPr>
                <w:sz w:val="20"/>
                <w:szCs w:val="20"/>
              </w:rPr>
            </w:pPr>
            <w:r w:rsidRPr="004B1EEE">
              <w:rPr>
                <w:rFonts w:ascii="Calibri" w:hAnsi="Calibri" w:cs="Calibri"/>
                <w:bCs/>
                <w:color w:val="000000"/>
                <w:sz w:val="20"/>
                <w:szCs w:val="20"/>
              </w:rPr>
              <w:t>537 777 $</w:t>
            </w:r>
          </w:p>
        </w:tc>
        <w:tc>
          <w:tcPr>
            <w:tcW w:w="1701" w:type="dxa"/>
          </w:tcPr>
          <w:p w:rsidR="005544DB" w:rsidRPr="004B1EEE" w:rsidRDefault="005544DB" w:rsidP="002E1A81">
            <w:pPr>
              <w:jc w:val="center"/>
              <w:rPr>
                <w:sz w:val="20"/>
                <w:szCs w:val="20"/>
              </w:rPr>
            </w:pPr>
            <w:r w:rsidRPr="004B1EEE">
              <w:rPr>
                <w:sz w:val="20"/>
                <w:szCs w:val="20"/>
              </w:rPr>
              <w:t>12%</w:t>
            </w:r>
          </w:p>
        </w:tc>
      </w:tr>
      <w:tr w:rsidR="005544DB" w:rsidRPr="004B1EEE" w:rsidTr="002E1A81">
        <w:tc>
          <w:tcPr>
            <w:tcW w:w="2126" w:type="dxa"/>
          </w:tcPr>
          <w:p w:rsidR="005544DB" w:rsidRPr="004B1EEE" w:rsidRDefault="005544DB" w:rsidP="002E1A81">
            <w:pPr>
              <w:rPr>
                <w:sz w:val="20"/>
                <w:szCs w:val="20"/>
              </w:rPr>
            </w:pPr>
            <w:r w:rsidRPr="004B1EEE">
              <w:rPr>
                <w:sz w:val="20"/>
                <w:szCs w:val="20"/>
              </w:rPr>
              <w:t>Valeur la plus basse</w:t>
            </w:r>
          </w:p>
        </w:tc>
        <w:tc>
          <w:tcPr>
            <w:tcW w:w="1730" w:type="dxa"/>
          </w:tcPr>
          <w:p w:rsidR="005544DB" w:rsidRPr="004B1EEE" w:rsidRDefault="005544DB" w:rsidP="002E1A81">
            <w:pPr>
              <w:jc w:val="center"/>
              <w:rPr>
                <w:sz w:val="20"/>
                <w:szCs w:val="20"/>
              </w:rPr>
            </w:pPr>
            <w:r w:rsidRPr="004B1EEE">
              <w:rPr>
                <w:sz w:val="20"/>
                <w:szCs w:val="20"/>
              </w:rPr>
              <w:t>328 400 $</w:t>
            </w:r>
          </w:p>
        </w:tc>
        <w:tc>
          <w:tcPr>
            <w:tcW w:w="1672" w:type="dxa"/>
          </w:tcPr>
          <w:p w:rsidR="005544DB" w:rsidRPr="004B1EEE" w:rsidRDefault="005544DB" w:rsidP="002E1A81">
            <w:pPr>
              <w:jc w:val="center"/>
              <w:rPr>
                <w:sz w:val="20"/>
                <w:szCs w:val="20"/>
              </w:rPr>
            </w:pPr>
            <w:r w:rsidRPr="004B1EEE">
              <w:rPr>
                <w:sz w:val="20"/>
                <w:szCs w:val="20"/>
              </w:rPr>
              <w:t>409 400 $</w:t>
            </w:r>
          </w:p>
        </w:tc>
        <w:tc>
          <w:tcPr>
            <w:tcW w:w="1701" w:type="dxa"/>
          </w:tcPr>
          <w:p w:rsidR="005544DB" w:rsidRPr="004B1EEE" w:rsidRDefault="005544DB" w:rsidP="002E1A81">
            <w:pPr>
              <w:jc w:val="center"/>
              <w:rPr>
                <w:sz w:val="20"/>
                <w:szCs w:val="20"/>
              </w:rPr>
            </w:pPr>
            <w:r w:rsidRPr="004B1EEE">
              <w:rPr>
                <w:sz w:val="20"/>
                <w:szCs w:val="20"/>
              </w:rPr>
              <w:t>25%</w:t>
            </w:r>
          </w:p>
        </w:tc>
      </w:tr>
      <w:tr w:rsidR="005544DB" w:rsidRPr="004B1EEE" w:rsidTr="002E1A81">
        <w:tc>
          <w:tcPr>
            <w:tcW w:w="2126" w:type="dxa"/>
          </w:tcPr>
          <w:p w:rsidR="005544DB" w:rsidRPr="004B1EEE" w:rsidRDefault="005544DB" w:rsidP="002E1A81">
            <w:pPr>
              <w:rPr>
                <w:sz w:val="20"/>
                <w:szCs w:val="20"/>
              </w:rPr>
            </w:pPr>
            <w:r w:rsidRPr="004B1EEE">
              <w:rPr>
                <w:sz w:val="20"/>
                <w:szCs w:val="20"/>
              </w:rPr>
              <w:t>Valeur la plus élevée</w:t>
            </w:r>
          </w:p>
        </w:tc>
        <w:tc>
          <w:tcPr>
            <w:tcW w:w="1730" w:type="dxa"/>
          </w:tcPr>
          <w:p w:rsidR="005544DB" w:rsidRPr="004B1EEE" w:rsidRDefault="005544DB" w:rsidP="002E1A81">
            <w:pPr>
              <w:jc w:val="center"/>
              <w:rPr>
                <w:sz w:val="20"/>
                <w:szCs w:val="20"/>
              </w:rPr>
            </w:pPr>
            <w:r w:rsidRPr="004B1EEE">
              <w:rPr>
                <w:sz w:val="20"/>
                <w:szCs w:val="20"/>
              </w:rPr>
              <w:t>589 900 $</w:t>
            </w:r>
          </w:p>
        </w:tc>
        <w:tc>
          <w:tcPr>
            <w:tcW w:w="1672" w:type="dxa"/>
          </w:tcPr>
          <w:p w:rsidR="005544DB" w:rsidRPr="004B1EEE" w:rsidRDefault="005544DB" w:rsidP="002E1A81">
            <w:pPr>
              <w:jc w:val="center"/>
              <w:rPr>
                <w:sz w:val="20"/>
                <w:szCs w:val="20"/>
              </w:rPr>
            </w:pPr>
            <w:r w:rsidRPr="004B1EEE">
              <w:rPr>
                <w:sz w:val="20"/>
                <w:szCs w:val="20"/>
              </w:rPr>
              <w:t>621 800 $</w:t>
            </w:r>
          </w:p>
        </w:tc>
        <w:tc>
          <w:tcPr>
            <w:tcW w:w="1701" w:type="dxa"/>
          </w:tcPr>
          <w:p w:rsidR="005544DB" w:rsidRPr="004B1EEE" w:rsidRDefault="005544DB" w:rsidP="002E1A81">
            <w:pPr>
              <w:jc w:val="center"/>
              <w:rPr>
                <w:sz w:val="20"/>
                <w:szCs w:val="20"/>
              </w:rPr>
            </w:pPr>
            <w:r w:rsidRPr="004B1EEE">
              <w:rPr>
                <w:sz w:val="20"/>
                <w:szCs w:val="20"/>
              </w:rPr>
              <w:t>5%</w:t>
            </w:r>
          </w:p>
        </w:tc>
      </w:tr>
      <w:tr w:rsidR="005544DB" w:rsidRPr="004B1EEE" w:rsidTr="002E1A81">
        <w:tc>
          <w:tcPr>
            <w:tcW w:w="2126" w:type="dxa"/>
          </w:tcPr>
          <w:p w:rsidR="005544DB" w:rsidRPr="004B1EEE" w:rsidRDefault="005544DB" w:rsidP="002E1A81">
            <w:pPr>
              <w:rPr>
                <w:sz w:val="20"/>
                <w:szCs w:val="20"/>
              </w:rPr>
            </w:pPr>
            <w:r w:rsidRPr="004B1EEE">
              <w:rPr>
                <w:sz w:val="20"/>
                <w:szCs w:val="20"/>
              </w:rPr>
              <w:t>Baisse de valeur (#)</w:t>
            </w:r>
          </w:p>
        </w:tc>
        <w:tc>
          <w:tcPr>
            <w:tcW w:w="5103" w:type="dxa"/>
            <w:gridSpan w:val="3"/>
          </w:tcPr>
          <w:p w:rsidR="005544DB" w:rsidRPr="004B1EEE" w:rsidRDefault="005544DB" w:rsidP="002E1A81">
            <w:pPr>
              <w:jc w:val="center"/>
              <w:rPr>
                <w:sz w:val="20"/>
                <w:szCs w:val="20"/>
              </w:rPr>
            </w:pPr>
            <w:r w:rsidRPr="004B1EEE">
              <w:rPr>
                <w:sz w:val="20"/>
                <w:szCs w:val="20"/>
              </w:rPr>
              <w:t>0</w:t>
            </w:r>
          </w:p>
        </w:tc>
      </w:tr>
      <w:tr w:rsidR="005544DB" w:rsidRPr="004B1EEE" w:rsidTr="002E1A81">
        <w:tc>
          <w:tcPr>
            <w:tcW w:w="2126" w:type="dxa"/>
          </w:tcPr>
          <w:p w:rsidR="005544DB" w:rsidRPr="004B1EEE" w:rsidRDefault="005544DB" w:rsidP="002E1A81">
            <w:pPr>
              <w:rPr>
                <w:sz w:val="20"/>
                <w:szCs w:val="20"/>
              </w:rPr>
            </w:pPr>
            <w:r w:rsidRPr="004B1EEE">
              <w:rPr>
                <w:sz w:val="20"/>
                <w:szCs w:val="20"/>
              </w:rPr>
              <w:t>Baisse de valeur (%)</w:t>
            </w:r>
          </w:p>
        </w:tc>
        <w:tc>
          <w:tcPr>
            <w:tcW w:w="5103" w:type="dxa"/>
            <w:gridSpan w:val="3"/>
          </w:tcPr>
          <w:p w:rsidR="005544DB" w:rsidRPr="004B1EEE" w:rsidRDefault="005544DB" w:rsidP="002E1A81">
            <w:pPr>
              <w:jc w:val="center"/>
              <w:rPr>
                <w:sz w:val="20"/>
                <w:szCs w:val="20"/>
              </w:rPr>
            </w:pPr>
            <w:r w:rsidRPr="004B1EEE">
              <w:rPr>
                <w:sz w:val="20"/>
                <w:szCs w:val="20"/>
              </w:rPr>
              <w:t>0%</w:t>
            </w:r>
          </w:p>
        </w:tc>
      </w:tr>
    </w:tbl>
    <w:p w:rsidR="005544DB" w:rsidRDefault="005544DB"/>
    <w:p w:rsidR="005544DB" w:rsidRPr="005544DB" w:rsidRDefault="005544DB">
      <w:pPr>
        <w:rPr>
          <w:b/>
        </w:rPr>
      </w:pPr>
      <w:r w:rsidRPr="005544DB">
        <w:rPr>
          <w:b/>
        </w:rPr>
        <w:t>Observations</w:t>
      </w:r>
    </w:p>
    <w:p w:rsidR="00794D1A" w:rsidRDefault="00485D90" w:rsidP="00794D1A">
      <w:r>
        <w:t>Il est intéressant de noter que</w:t>
      </w:r>
      <w:r w:rsidR="003277CB">
        <w:t xml:space="preserve"> </w:t>
      </w:r>
      <w:r w:rsidR="00750218">
        <w:t>38</w:t>
      </w:r>
      <w:r w:rsidR="003277CB">
        <w:t xml:space="preserve"> </w:t>
      </w:r>
      <w:r w:rsidR="00133F62">
        <w:t>des</w:t>
      </w:r>
      <w:r w:rsidR="003277CB">
        <w:t xml:space="preserve"> </w:t>
      </w:r>
      <w:r w:rsidR="00750218">
        <w:t>116</w:t>
      </w:r>
      <w:r>
        <w:t xml:space="preserve"> </w:t>
      </w:r>
      <w:r w:rsidR="00983420">
        <w:t xml:space="preserve">(33%) </w:t>
      </w:r>
      <w:r>
        <w:t xml:space="preserve">des </w:t>
      </w:r>
      <w:r w:rsidR="00132087">
        <w:t xml:space="preserve">propriétés des </w:t>
      </w:r>
      <w:r w:rsidR="00F62724">
        <w:t>secteurs est et ouest</w:t>
      </w:r>
      <w:r w:rsidR="00983420">
        <w:t xml:space="preserve"> </w:t>
      </w:r>
      <w:r w:rsidR="007F564D">
        <w:t>ont connu une baisse de valeur</w:t>
      </w:r>
      <w:r w:rsidR="00132087">
        <w:t xml:space="preserve">. Malgré ceci, </w:t>
      </w:r>
      <w:r w:rsidR="00794D1A">
        <w:t>l</w:t>
      </w:r>
      <w:r w:rsidR="00133F62">
        <w:t>’</w:t>
      </w:r>
      <w:r w:rsidR="00794D1A">
        <w:t>augmentation moyenne est de 7</w:t>
      </w:r>
      <w:proofErr w:type="gramStart"/>
      <w:r w:rsidR="00794D1A">
        <w:t>%.Par</w:t>
      </w:r>
      <w:proofErr w:type="gramEnd"/>
      <w:r w:rsidR="00794D1A">
        <w:t xml:space="preserve"> </w:t>
      </w:r>
      <w:r w:rsidR="00D74A69">
        <w:t>ailleurs</w:t>
      </w:r>
      <w:r w:rsidR="00794D1A">
        <w:t xml:space="preserve">, les propriétés plus récentes n’ont </w:t>
      </w:r>
      <w:r w:rsidR="00D74A69">
        <w:t>subi</w:t>
      </w:r>
      <w:r w:rsidR="00794D1A">
        <w:t xml:space="preserve"> aucune baisse et leur augmentation moyenne est de </w:t>
      </w:r>
      <w:r w:rsidR="00D74A69">
        <w:t xml:space="preserve">12%. </w:t>
      </w:r>
    </w:p>
    <w:p w:rsidR="00563F86" w:rsidRDefault="00213E51">
      <w:r w:rsidRPr="004B1EEE">
        <w:rPr>
          <w:b/>
          <w:i/>
        </w:rPr>
        <w:t>Comment expliquer ces résultats?</w:t>
      </w:r>
      <w:r>
        <w:t xml:space="preserve"> </w:t>
      </w:r>
      <w:r w:rsidR="00485D90">
        <w:t>I</w:t>
      </w:r>
      <w:r>
        <w:t xml:space="preserve">l y a lieu de se questionner sur les </w:t>
      </w:r>
      <w:r w:rsidR="00A61E6B">
        <w:t>résultats</w:t>
      </w:r>
      <w:r>
        <w:t xml:space="preserve">, notamment pourquoi tant de propriétés ont connu une </w:t>
      </w:r>
      <w:r w:rsidR="00F6765E">
        <w:t>diminution de valeur</w:t>
      </w:r>
      <w:r w:rsidR="00A61E6B">
        <w:t xml:space="preserve"> entre 2016 et 2019</w:t>
      </w:r>
      <w:r>
        <w:t>?</w:t>
      </w:r>
      <w:r w:rsidR="00563F86">
        <w:t xml:space="preserve"> </w:t>
      </w:r>
      <w:r w:rsidR="004B1EEE">
        <w:t>C</w:t>
      </w:r>
      <w:r w:rsidR="00563F86">
        <w:t xml:space="preserve">eci </w:t>
      </w:r>
      <w:r w:rsidR="00485D90">
        <w:t>pourrait peut-être</w:t>
      </w:r>
      <w:r w:rsidR="004B1EEE">
        <w:t xml:space="preserve"> </w:t>
      </w:r>
      <w:r w:rsidR="00563F86">
        <w:t xml:space="preserve">s’expliquer par le fait que plusieurs des résidences du secteur ont </w:t>
      </w:r>
      <w:r w:rsidR="004B1EEE">
        <w:t xml:space="preserve">connu </w:t>
      </w:r>
      <w:r w:rsidR="00563F86">
        <w:t xml:space="preserve">peu ou pas de rénovations. Aussi, </w:t>
      </w:r>
      <w:r w:rsidR="00485D90">
        <w:t xml:space="preserve">peut-être </w:t>
      </w:r>
      <w:r w:rsidR="00563F86">
        <w:t xml:space="preserve">certaines rénovations </w:t>
      </w:r>
      <w:r w:rsidR="00D74A69">
        <w:t>ont</w:t>
      </w:r>
      <w:r w:rsidR="00563F86">
        <w:t xml:space="preserve"> été complétées sans permis</w:t>
      </w:r>
      <w:r w:rsidR="00406BDC">
        <w:t>. Ainsi, l</w:t>
      </w:r>
      <w:r w:rsidR="00A14D44">
        <w:t>e service d’évaluation de la Ville n’</w:t>
      </w:r>
      <w:r w:rsidR="00563F86">
        <w:t>est pas a</w:t>
      </w:r>
      <w:r w:rsidR="00A14D44">
        <w:t>u courant.</w:t>
      </w:r>
      <w:r w:rsidR="00406BDC">
        <w:t xml:space="preserve"> Il </w:t>
      </w:r>
      <w:r w:rsidR="00D74A69">
        <w:t xml:space="preserve">n’en </w:t>
      </w:r>
      <w:r w:rsidR="00406BDC">
        <w:t xml:space="preserve">demeure </w:t>
      </w:r>
      <w:r w:rsidR="00A14D44">
        <w:t xml:space="preserve">pas moins </w:t>
      </w:r>
      <w:r w:rsidR="00406BDC">
        <w:t xml:space="preserve">que ces résultats peuvent être questionnés. </w:t>
      </w:r>
    </w:p>
    <w:p w:rsidR="00563F86" w:rsidRDefault="00563F86">
      <w:r>
        <w:t>En contrepartie, c</w:t>
      </w:r>
      <w:r w:rsidR="00A61E6B">
        <w:t>ertaines augmentations s’expliquent</w:t>
      </w:r>
      <w:r w:rsidR="00406BDC">
        <w:t xml:space="preserve"> avec évidence car</w:t>
      </w:r>
      <w:r w:rsidR="00A61E6B">
        <w:t xml:space="preserve"> elles peuvent être dues à des rénovations, des agrandissements ou à des ajouts</w:t>
      </w:r>
      <w:r w:rsidR="000D779D">
        <w:t>. Ou</w:t>
      </w:r>
      <w:r>
        <w:t xml:space="preserve"> simplement </w:t>
      </w:r>
      <w:r w:rsidR="000D779D">
        <w:t xml:space="preserve">dû au fait </w:t>
      </w:r>
      <w:r>
        <w:t xml:space="preserve">que la propriété a été vendue </w:t>
      </w:r>
      <w:r w:rsidR="00FA1F0E">
        <w:t xml:space="preserve">entre </w:t>
      </w:r>
      <w:r w:rsidR="00406BDC">
        <w:t>2016 et 2019, et que l’évaluation municipale en tient compte.</w:t>
      </w:r>
      <w:r w:rsidR="00132087">
        <w:t xml:space="preserve"> Il est aussi normal que les résidences plus récentes n’ont pas subi de baisse en raison de leur état. </w:t>
      </w:r>
    </w:p>
    <w:p w:rsidR="004B1EEE" w:rsidRDefault="00FA7C23">
      <w:pPr>
        <w:rPr>
          <w:b/>
        </w:rPr>
      </w:pPr>
      <w:r>
        <w:rPr>
          <w:b/>
        </w:rPr>
        <w:t>Processus d’étalement</w:t>
      </w:r>
    </w:p>
    <w:p w:rsidR="004B1EEE" w:rsidRDefault="000D1DAC">
      <w:r>
        <w:t xml:space="preserve">Dans le but de </w:t>
      </w:r>
      <w:r w:rsidR="003C2FBF">
        <w:t xml:space="preserve">réduire l’impact fiscal pour les propriétaires, la ville </w:t>
      </w:r>
      <w:r w:rsidR="00F62724">
        <w:t>applique</w:t>
      </w:r>
      <w:r w:rsidR="003C2FBF">
        <w:t xml:space="preserve"> un processus d’étalement de la valeur sur la durée du rôle municipal, donc sur les trois prochaines années. Les propriétés qui ont connu une hausse plus grande que la moyenne </w:t>
      </w:r>
      <w:r>
        <w:t xml:space="preserve">établie par la ville, soit 6%, </w:t>
      </w:r>
      <w:r w:rsidR="003C2FBF">
        <w:t>subiront ainsi des augmentations graduelles</w:t>
      </w:r>
      <w:r>
        <w:t>. À</w:t>
      </w:r>
      <w:r w:rsidR="003C2FBF">
        <w:t xml:space="preserve"> l’inverse, celles qui ont connu une baisse auront aussi des baisses graduelles. Voyons quelques exemples</w:t>
      </w:r>
      <w:r w:rsidR="00620C89">
        <w:t xml:space="preserve"> des impacts fiscaux pour </w:t>
      </w:r>
      <w:r w:rsidR="00AB266D">
        <w:t xml:space="preserve">l’année </w:t>
      </w:r>
      <w:r w:rsidR="00620C89">
        <w:t>2021</w:t>
      </w:r>
      <w:r w:rsidR="003C2FBF">
        <w:t> :</w:t>
      </w:r>
    </w:p>
    <w:tbl>
      <w:tblPr>
        <w:tblStyle w:val="Grilledutableau"/>
        <w:tblW w:w="0" w:type="auto"/>
        <w:tblInd w:w="959" w:type="dxa"/>
        <w:tblLook w:val="04A0" w:firstRow="1" w:lastRow="0" w:firstColumn="1" w:lastColumn="0" w:noHBand="0" w:noVBand="1"/>
      </w:tblPr>
      <w:tblGrid>
        <w:gridCol w:w="1843"/>
        <w:gridCol w:w="1275"/>
        <w:gridCol w:w="1134"/>
        <w:gridCol w:w="1134"/>
        <w:gridCol w:w="1269"/>
      </w:tblGrid>
      <w:tr w:rsidR="003C2FBF" w:rsidRPr="003C2FBF" w:rsidTr="00620C89">
        <w:tc>
          <w:tcPr>
            <w:tcW w:w="6655" w:type="dxa"/>
            <w:gridSpan w:val="5"/>
          </w:tcPr>
          <w:p w:rsidR="003C2FBF" w:rsidRPr="003C2FBF" w:rsidRDefault="003C2FBF" w:rsidP="003C2FBF">
            <w:pPr>
              <w:jc w:val="center"/>
              <w:rPr>
                <w:b/>
                <w:sz w:val="20"/>
                <w:szCs w:val="20"/>
              </w:rPr>
            </w:pPr>
            <w:r w:rsidRPr="003C2FBF">
              <w:rPr>
                <w:b/>
                <w:sz w:val="20"/>
                <w:szCs w:val="20"/>
              </w:rPr>
              <w:t xml:space="preserve">Immeubles avec </w:t>
            </w:r>
            <w:r w:rsidR="00620C89">
              <w:rPr>
                <w:b/>
                <w:sz w:val="20"/>
                <w:szCs w:val="20"/>
              </w:rPr>
              <w:t xml:space="preserve">des </w:t>
            </w:r>
            <w:r w:rsidRPr="003C2FBF">
              <w:rPr>
                <w:b/>
                <w:sz w:val="20"/>
                <w:szCs w:val="20"/>
              </w:rPr>
              <w:t>augmentations</w:t>
            </w:r>
          </w:p>
        </w:tc>
      </w:tr>
      <w:tr w:rsidR="00761B7C" w:rsidRPr="003C2FBF" w:rsidTr="00761B7C">
        <w:tc>
          <w:tcPr>
            <w:tcW w:w="1843" w:type="dxa"/>
          </w:tcPr>
          <w:p w:rsidR="003C2FBF" w:rsidRPr="003C2FBF" w:rsidRDefault="003C2FBF">
            <w:pPr>
              <w:rPr>
                <w:sz w:val="20"/>
                <w:szCs w:val="20"/>
              </w:rPr>
            </w:pPr>
          </w:p>
        </w:tc>
        <w:tc>
          <w:tcPr>
            <w:tcW w:w="1275" w:type="dxa"/>
          </w:tcPr>
          <w:p w:rsidR="003C2FBF" w:rsidRPr="003C2FBF" w:rsidRDefault="003C2FBF" w:rsidP="00620C89">
            <w:pPr>
              <w:jc w:val="center"/>
              <w:rPr>
                <w:sz w:val="20"/>
                <w:szCs w:val="20"/>
              </w:rPr>
            </w:pPr>
            <w:r w:rsidRPr="003C2FBF">
              <w:rPr>
                <w:sz w:val="20"/>
                <w:szCs w:val="20"/>
              </w:rPr>
              <w:t>A1</w:t>
            </w:r>
          </w:p>
        </w:tc>
        <w:tc>
          <w:tcPr>
            <w:tcW w:w="1134" w:type="dxa"/>
          </w:tcPr>
          <w:p w:rsidR="003C2FBF" w:rsidRPr="003C2FBF" w:rsidRDefault="003C2FBF" w:rsidP="00620C89">
            <w:pPr>
              <w:jc w:val="center"/>
              <w:rPr>
                <w:sz w:val="20"/>
                <w:szCs w:val="20"/>
              </w:rPr>
            </w:pPr>
            <w:r w:rsidRPr="003C2FBF">
              <w:rPr>
                <w:sz w:val="20"/>
                <w:szCs w:val="20"/>
              </w:rPr>
              <w:t>A2</w:t>
            </w:r>
          </w:p>
        </w:tc>
        <w:tc>
          <w:tcPr>
            <w:tcW w:w="1134" w:type="dxa"/>
          </w:tcPr>
          <w:p w:rsidR="003C2FBF" w:rsidRPr="003C2FBF" w:rsidRDefault="003C2FBF" w:rsidP="00620C89">
            <w:pPr>
              <w:jc w:val="center"/>
              <w:rPr>
                <w:sz w:val="20"/>
                <w:szCs w:val="20"/>
              </w:rPr>
            </w:pPr>
            <w:r w:rsidRPr="003C2FBF">
              <w:rPr>
                <w:sz w:val="20"/>
                <w:szCs w:val="20"/>
              </w:rPr>
              <w:t>A3</w:t>
            </w:r>
          </w:p>
        </w:tc>
        <w:tc>
          <w:tcPr>
            <w:tcW w:w="1269" w:type="dxa"/>
          </w:tcPr>
          <w:p w:rsidR="003C2FBF" w:rsidRPr="003C2FBF" w:rsidRDefault="003C2FBF" w:rsidP="00620C89">
            <w:pPr>
              <w:jc w:val="center"/>
              <w:rPr>
                <w:sz w:val="20"/>
                <w:szCs w:val="20"/>
              </w:rPr>
            </w:pPr>
            <w:r w:rsidRPr="003C2FBF">
              <w:rPr>
                <w:sz w:val="20"/>
                <w:szCs w:val="20"/>
              </w:rPr>
              <w:t>A4</w:t>
            </w:r>
          </w:p>
        </w:tc>
      </w:tr>
      <w:tr w:rsidR="00761B7C" w:rsidRPr="003C2FBF" w:rsidTr="00761B7C">
        <w:tc>
          <w:tcPr>
            <w:tcW w:w="1843" w:type="dxa"/>
          </w:tcPr>
          <w:p w:rsidR="003C2FBF" w:rsidRPr="003C2FBF" w:rsidRDefault="003C2FBF" w:rsidP="000D1DAC">
            <w:pPr>
              <w:rPr>
                <w:sz w:val="20"/>
                <w:szCs w:val="20"/>
              </w:rPr>
            </w:pPr>
            <w:r>
              <w:rPr>
                <w:sz w:val="20"/>
                <w:szCs w:val="20"/>
              </w:rPr>
              <w:t xml:space="preserve">Valeur </w:t>
            </w:r>
            <w:r w:rsidR="000D1DAC">
              <w:rPr>
                <w:sz w:val="20"/>
                <w:szCs w:val="20"/>
              </w:rPr>
              <w:t>municipale</w:t>
            </w:r>
          </w:p>
        </w:tc>
        <w:tc>
          <w:tcPr>
            <w:tcW w:w="1275" w:type="dxa"/>
          </w:tcPr>
          <w:p w:rsidR="003C2FBF" w:rsidRPr="003C2FBF" w:rsidRDefault="003C2FBF" w:rsidP="00620C89">
            <w:pPr>
              <w:jc w:val="center"/>
              <w:rPr>
                <w:sz w:val="20"/>
                <w:szCs w:val="20"/>
              </w:rPr>
            </w:pPr>
            <w:r>
              <w:rPr>
                <w:sz w:val="20"/>
                <w:szCs w:val="20"/>
              </w:rPr>
              <w:t>15%</w:t>
            </w:r>
          </w:p>
        </w:tc>
        <w:tc>
          <w:tcPr>
            <w:tcW w:w="1134" w:type="dxa"/>
          </w:tcPr>
          <w:p w:rsidR="003C2FBF" w:rsidRPr="003C2FBF" w:rsidRDefault="00620C89" w:rsidP="00620C89">
            <w:pPr>
              <w:jc w:val="center"/>
              <w:rPr>
                <w:sz w:val="20"/>
                <w:szCs w:val="20"/>
              </w:rPr>
            </w:pPr>
            <w:r>
              <w:rPr>
                <w:sz w:val="20"/>
                <w:szCs w:val="20"/>
              </w:rPr>
              <w:t>21%</w:t>
            </w:r>
          </w:p>
        </w:tc>
        <w:tc>
          <w:tcPr>
            <w:tcW w:w="1134" w:type="dxa"/>
          </w:tcPr>
          <w:p w:rsidR="003C2FBF" w:rsidRPr="003C2FBF" w:rsidRDefault="00620C89" w:rsidP="00620C89">
            <w:pPr>
              <w:jc w:val="center"/>
              <w:rPr>
                <w:sz w:val="20"/>
                <w:szCs w:val="20"/>
              </w:rPr>
            </w:pPr>
            <w:r>
              <w:rPr>
                <w:sz w:val="20"/>
                <w:szCs w:val="20"/>
              </w:rPr>
              <w:t>10%</w:t>
            </w:r>
          </w:p>
        </w:tc>
        <w:tc>
          <w:tcPr>
            <w:tcW w:w="1269" w:type="dxa"/>
          </w:tcPr>
          <w:p w:rsidR="003C2FBF" w:rsidRPr="003C2FBF" w:rsidRDefault="00620C89" w:rsidP="00620C89">
            <w:pPr>
              <w:jc w:val="center"/>
              <w:rPr>
                <w:sz w:val="20"/>
                <w:szCs w:val="20"/>
              </w:rPr>
            </w:pPr>
            <w:r>
              <w:rPr>
                <w:sz w:val="20"/>
                <w:szCs w:val="20"/>
              </w:rPr>
              <w:t>12%</w:t>
            </w:r>
          </w:p>
        </w:tc>
      </w:tr>
      <w:tr w:rsidR="00761B7C" w:rsidRPr="003C2FBF" w:rsidTr="00761B7C">
        <w:tc>
          <w:tcPr>
            <w:tcW w:w="1843" w:type="dxa"/>
          </w:tcPr>
          <w:p w:rsidR="003C2FBF" w:rsidRPr="003C2FBF" w:rsidRDefault="00620C89" w:rsidP="00620C89">
            <w:pPr>
              <w:rPr>
                <w:sz w:val="20"/>
                <w:szCs w:val="20"/>
              </w:rPr>
            </w:pPr>
            <w:r>
              <w:rPr>
                <w:sz w:val="20"/>
                <w:szCs w:val="20"/>
              </w:rPr>
              <w:t>Valeur étalée</w:t>
            </w:r>
          </w:p>
        </w:tc>
        <w:tc>
          <w:tcPr>
            <w:tcW w:w="1275" w:type="dxa"/>
          </w:tcPr>
          <w:p w:rsidR="003C2FBF" w:rsidRPr="003C2FBF" w:rsidRDefault="00620C89" w:rsidP="00620C89">
            <w:pPr>
              <w:jc w:val="center"/>
              <w:rPr>
                <w:sz w:val="20"/>
                <w:szCs w:val="20"/>
              </w:rPr>
            </w:pPr>
            <w:r>
              <w:rPr>
                <w:sz w:val="20"/>
                <w:szCs w:val="20"/>
              </w:rPr>
              <w:t>5%</w:t>
            </w:r>
          </w:p>
        </w:tc>
        <w:tc>
          <w:tcPr>
            <w:tcW w:w="1134" w:type="dxa"/>
          </w:tcPr>
          <w:p w:rsidR="003C2FBF" w:rsidRPr="003C2FBF" w:rsidRDefault="00620C89" w:rsidP="00620C89">
            <w:pPr>
              <w:jc w:val="center"/>
              <w:rPr>
                <w:sz w:val="20"/>
                <w:szCs w:val="20"/>
              </w:rPr>
            </w:pPr>
            <w:r>
              <w:rPr>
                <w:sz w:val="20"/>
                <w:szCs w:val="20"/>
              </w:rPr>
              <w:t>7%</w:t>
            </w:r>
          </w:p>
        </w:tc>
        <w:tc>
          <w:tcPr>
            <w:tcW w:w="1134" w:type="dxa"/>
          </w:tcPr>
          <w:p w:rsidR="003C2FBF" w:rsidRPr="003C2FBF" w:rsidRDefault="00620C89" w:rsidP="00620C89">
            <w:pPr>
              <w:jc w:val="center"/>
              <w:rPr>
                <w:sz w:val="20"/>
                <w:szCs w:val="20"/>
              </w:rPr>
            </w:pPr>
            <w:r>
              <w:rPr>
                <w:sz w:val="20"/>
                <w:szCs w:val="20"/>
              </w:rPr>
              <w:t>3%</w:t>
            </w:r>
          </w:p>
        </w:tc>
        <w:tc>
          <w:tcPr>
            <w:tcW w:w="1269" w:type="dxa"/>
          </w:tcPr>
          <w:p w:rsidR="003C2FBF" w:rsidRPr="003C2FBF" w:rsidRDefault="00620C89" w:rsidP="00620C89">
            <w:pPr>
              <w:jc w:val="center"/>
              <w:rPr>
                <w:sz w:val="20"/>
                <w:szCs w:val="20"/>
              </w:rPr>
            </w:pPr>
            <w:r>
              <w:rPr>
                <w:sz w:val="20"/>
                <w:szCs w:val="20"/>
              </w:rPr>
              <w:t>4%</w:t>
            </w:r>
          </w:p>
        </w:tc>
      </w:tr>
      <w:tr w:rsidR="00761B7C" w:rsidRPr="003C2FBF" w:rsidTr="00761B7C">
        <w:tc>
          <w:tcPr>
            <w:tcW w:w="1843" w:type="dxa"/>
          </w:tcPr>
          <w:p w:rsidR="00620C89" w:rsidRDefault="00620C89" w:rsidP="00620C89">
            <w:pPr>
              <w:rPr>
                <w:sz w:val="20"/>
                <w:szCs w:val="20"/>
              </w:rPr>
            </w:pPr>
            <w:r>
              <w:rPr>
                <w:sz w:val="20"/>
                <w:szCs w:val="20"/>
              </w:rPr>
              <w:t>Impact sur les taxes</w:t>
            </w:r>
          </w:p>
        </w:tc>
        <w:tc>
          <w:tcPr>
            <w:tcW w:w="1275" w:type="dxa"/>
          </w:tcPr>
          <w:p w:rsidR="00620C89" w:rsidRDefault="00620C89" w:rsidP="00620C89">
            <w:pPr>
              <w:jc w:val="center"/>
              <w:rPr>
                <w:sz w:val="20"/>
                <w:szCs w:val="20"/>
              </w:rPr>
            </w:pPr>
            <w:r>
              <w:rPr>
                <w:sz w:val="20"/>
                <w:szCs w:val="20"/>
              </w:rPr>
              <w:t>5%</w:t>
            </w:r>
          </w:p>
        </w:tc>
        <w:tc>
          <w:tcPr>
            <w:tcW w:w="1134" w:type="dxa"/>
          </w:tcPr>
          <w:p w:rsidR="00620C89" w:rsidRPr="003C2FBF" w:rsidRDefault="00620C89" w:rsidP="00620C89">
            <w:pPr>
              <w:jc w:val="center"/>
              <w:rPr>
                <w:sz w:val="20"/>
                <w:szCs w:val="20"/>
              </w:rPr>
            </w:pPr>
            <w:r>
              <w:rPr>
                <w:sz w:val="20"/>
                <w:szCs w:val="20"/>
              </w:rPr>
              <w:t>7%</w:t>
            </w:r>
          </w:p>
        </w:tc>
        <w:tc>
          <w:tcPr>
            <w:tcW w:w="1134" w:type="dxa"/>
          </w:tcPr>
          <w:p w:rsidR="00620C89" w:rsidRPr="003C2FBF" w:rsidRDefault="00620C89" w:rsidP="00620C89">
            <w:pPr>
              <w:jc w:val="center"/>
              <w:rPr>
                <w:sz w:val="20"/>
                <w:szCs w:val="20"/>
              </w:rPr>
            </w:pPr>
            <w:r>
              <w:rPr>
                <w:sz w:val="20"/>
                <w:szCs w:val="20"/>
              </w:rPr>
              <w:t>3%</w:t>
            </w:r>
          </w:p>
        </w:tc>
        <w:tc>
          <w:tcPr>
            <w:tcW w:w="1269" w:type="dxa"/>
          </w:tcPr>
          <w:p w:rsidR="00620C89" w:rsidRPr="003C2FBF" w:rsidRDefault="00620C89" w:rsidP="00620C89">
            <w:pPr>
              <w:jc w:val="center"/>
              <w:rPr>
                <w:sz w:val="20"/>
                <w:szCs w:val="20"/>
              </w:rPr>
            </w:pPr>
            <w:r>
              <w:rPr>
                <w:sz w:val="20"/>
                <w:szCs w:val="20"/>
              </w:rPr>
              <w:t>4%</w:t>
            </w:r>
          </w:p>
        </w:tc>
      </w:tr>
      <w:tr w:rsidR="00620C89" w:rsidRPr="00620C89" w:rsidTr="007F6831">
        <w:tc>
          <w:tcPr>
            <w:tcW w:w="6655" w:type="dxa"/>
            <w:gridSpan w:val="5"/>
          </w:tcPr>
          <w:p w:rsidR="00620C89" w:rsidRPr="00620C89" w:rsidRDefault="00620C89" w:rsidP="00620C89">
            <w:pPr>
              <w:jc w:val="center"/>
              <w:rPr>
                <w:b/>
                <w:sz w:val="20"/>
                <w:szCs w:val="20"/>
              </w:rPr>
            </w:pPr>
            <w:r w:rsidRPr="00620C89">
              <w:rPr>
                <w:b/>
                <w:sz w:val="20"/>
                <w:szCs w:val="20"/>
              </w:rPr>
              <w:t>Immeubles avec des baisses</w:t>
            </w:r>
          </w:p>
        </w:tc>
      </w:tr>
      <w:tr w:rsidR="00620C89" w:rsidRPr="003C2FBF" w:rsidTr="00761B7C">
        <w:tc>
          <w:tcPr>
            <w:tcW w:w="1843" w:type="dxa"/>
          </w:tcPr>
          <w:p w:rsidR="00620C89" w:rsidRDefault="00620C89">
            <w:pPr>
              <w:rPr>
                <w:sz w:val="20"/>
                <w:szCs w:val="20"/>
              </w:rPr>
            </w:pPr>
          </w:p>
        </w:tc>
        <w:tc>
          <w:tcPr>
            <w:tcW w:w="1275" w:type="dxa"/>
          </w:tcPr>
          <w:p w:rsidR="00620C89" w:rsidRDefault="00620C89" w:rsidP="00620C89">
            <w:pPr>
              <w:jc w:val="center"/>
              <w:rPr>
                <w:sz w:val="20"/>
                <w:szCs w:val="20"/>
              </w:rPr>
            </w:pPr>
            <w:r>
              <w:rPr>
                <w:sz w:val="20"/>
                <w:szCs w:val="20"/>
              </w:rPr>
              <w:t>B1</w:t>
            </w:r>
          </w:p>
        </w:tc>
        <w:tc>
          <w:tcPr>
            <w:tcW w:w="1134" w:type="dxa"/>
          </w:tcPr>
          <w:p w:rsidR="00620C89" w:rsidRPr="003C2FBF" w:rsidRDefault="00620C89" w:rsidP="00620C89">
            <w:pPr>
              <w:jc w:val="center"/>
              <w:rPr>
                <w:sz w:val="20"/>
                <w:szCs w:val="20"/>
              </w:rPr>
            </w:pPr>
            <w:r>
              <w:rPr>
                <w:sz w:val="20"/>
                <w:szCs w:val="20"/>
              </w:rPr>
              <w:t>B2</w:t>
            </w:r>
          </w:p>
        </w:tc>
        <w:tc>
          <w:tcPr>
            <w:tcW w:w="1134" w:type="dxa"/>
          </w:tcPr>
          <w:p w:rsidR="00620C89" w:rsidRPr="003C2FBF" w:rsidRDefault="00620C89" w:rsidP="00620C89">
            <w:pPr>
              <w:jc w:val="center"/>
              <w:rPr>
                <w:sz w:val="20"/>
                <w:szCs w:val="20"/>
              </w:rPr>
            </w:pPr>
            <w:r>
              <w:rPr>
                <w:sz w:val="20"/>
                <w:szCs w:val="20"/>
              </w:rPr>
              <w:t>B3</w:t>
            </w:r>
          </w:p>
        </w:tc>
        <w:tc>
          <w:tcPr>
            <w:tcW w:w="1269" w:type="dxa"/>
          </w:tcPr>
          <w:p w:rsidR="00620C89" w:rsidRPr="003C2FBF" w:rsidRDefault="00620C89" w:rsidP="00620C89">
            <w:pPr>
              <w:jc w:val="center"/>
              <w:rPr>
                <w:sz w:val="20"/>
                <w:szCs w:val="20"/>
              </w:rPr>
            </w:pPr>
            <w:r>
              <w:rPr>
                <w:sz w:val="20"/>
                <w:szCs w:val="20"/>
              </w:rPr>
              <w:t>B4</w:t>
            </w:r>
          </w:p>
        </w:tc>
      </w:tr>
      <w:tr w:rsidR="00761B7C" w:rsidRPr="003C2FBF" w:rsidTr="00761B7C">
        <w:tc>
          <w:tcPr>
            <w:tcW w:w="1843" w:type="dxa"/>
          </w:tcPr>
          <w:p w:rsidR="00620C89" w:rsidRDefault="00620C89" w:rsidP="000D1DAC">
            <w:pPr>
              <w:rPr>
                <w:sz w:val="20"/>
                <w:szCs w:val="20"/>
              </w:rPr>
            </w:pPr>
            <w:r>
              <w:rPr>
                <w:sz w:val="20"/>
                <w:szCs w:val="20"/>
              </w:rPr>
              <w:t xml:space="preserve">Valeur </w:t>
            </w:r>
            <w:r w:rsidR="000D1DAC">
              <w:rPr>
                <w:sz w:val="20"/>
                <w:szCs w:val="20"/>
              </w:rPr>
              <w:t>municipale</w:t>
            </w:r>
          </w:p>
        </w:tc>
        <w:tc>
          <w:tcPr>
            <w:tcW w:w="1275" w:type="dxa"/>
          </w:tcPr>
          <w:p w:rsidR="00620C89" w:rsidRDefault="00620C89" w:rsidP="00620C89">
            <w:pPr>
              <w:jc w:val="center"/>
              <w:rPr>
                <w:sz w:val="20"/>
                <w:szCs w:val="20"/>
              </w:rPr>
            </w:pPr>
            <w:r>
              <w:rPr>
                <w:sz w:val="20"/>
                <w:szCs w:val="20"/>
              </w:rPr>
              <w:t>-12%</w:t>
            </w:r>
          </w:p>
        </w:tc>
        <w:tc>
          <w:tcPr>
            <w:tcW w:w="1134" w:type="dxa"/>
          </w:tcPr>
          <w:p w:rsidR="00620C89" w:rsidRPr="003C2FBF" w:rsidRDefault="00620C89" w:rsidP="00620C89">
            <w:pPr>
              <w:jc w:val="center"/>
              <w:rPr>
                <w:sz w:val="20"/>
                <w:szCs w:val="20"/>
              </w:rPr>
            </w:pPr>
            <w:r>
              <w:rPr>
                <w:sz w:val="20"/>
                <w:szCs w:val="20"/>
              </w:rPr>
              <w:t>-11%</w:t>
            </w:r>
          </w:p>
        </w:tc>
        <w:tc>
          <w:tcPr>
            <w:tcW w:w="1134" w:type="dxa"/>
          </w:tcPr>
          <w:p w:rsidR="00620C89" w:rsidRPr="003C2FBF" w:rsidRDefault="00761B7C" w:rsidP="00620C89">
            <w:pPr>
              <w:jc w:val="center"/>
              <w:rPr>
                <w:sz w:val="20"/>
                <w:szCs w:val="20"/>
              </w:rPr>
            </w:pPr>
            <w:r>
              <w:rPr>
                <w:sz w:val="20"/>
                <w:szCs w:val="20"/>
              </w:rPr>
              <w:t>-10%</w:t>
            </w:r>
          </w:p>
        </w:tc>
        <w:tc>
          <w:tcPr>
            <w:tcW w:w="1269" w:type="dxa"/>
          </w:tcPr>
          <w:p w:rsidR="00620C89" w:rsidRPr="003C2FBF" w:rsidRDefault="00761B7C" w:rsidP="00620C89">
            <w:pPr>
              <w:jc w:val="center"/>
              <w:rPr>
                <w:sz w:val="20"/>
                <w:szCs w:val="20"/>
              </w:rPr>
            </w:pPr>
            <w:r>
              <w:rPr>
                <w:sz w:val="20"/>
                <w:szCs w:val="20"/>
              </w:rPr>
              <w:t>-6%</w:t>
            </w:r>
          </w:p>
        </w:tc>
      </w:tr>
      <w:tr w:rsidR="00761B7C" w:rsidRPr="003C2FBF" w:rsidTr="00761B7C">
        <w:tc>
          <w:tcPr>
            <w:tcW w:w="1843" w:type="dxa"/>
          </w:tcPr>
          <w:p w:rsidR="00620C89" w:rsidRDefault="00620C89">
            <w:pPr>
              <w:rPr>
                <w:sz w:val="20"/>
                <w:szCs w:val="20"/>
              </w:rPr>
            </w:pPr>
            <w:r>
              <w:rPr>
                <w:sz w:val="20"/>
                <w:szCs w:val="20"/>
              </w:rPr>
              <w:t>Valeur étalée</w:t>
            </w:r>
          </w:p>
        </w:tc>
        <w:tc>
          <w:tcPr>
            <w:tcW w:w="1275" w:type="dxa"/>
          </w:tcPr>
          <w:p w:rsidR="00620C89" w:rsidRDefault="00620C89" w:rsidP="00620C89">
            <w:pPr>
              <w:jc w:val="center"/>
              <w:rPr>
                <w:sz w:val="20"/>
                <w:szCs w:val="20"/>
              </w:rPr>
            </w:pPr>
            <w:r>
              <w:rPr>
                <w:sz w:val="20"/>
                <w:szCs w:val="20"/>
              </w:rPr>
              <w:t>-4%</w:t>
            </w:r>
          </w:p>
        </w:tc>
        <w:tc>
          <w:tcPr>
            <w:tcW w:w="1134" w:type="dxa"/>
          </w:tcPr>
          <w:p w:rsidR="00620C89" w:rsidRPr="003C2FBF" w:rsidRDefault="00620C89" w:rsidP="00620C89">
            <w:pPr>
              <w:jc w:val="center"/>
              <w:rPr>
                <w:sz w:val="20"/>
                <w:szCs w:val="20"/>
              </w:rPr>
            </w:pPr>
            <w:r>
              <w:rPr>
                <w:sz w:val="20"/>
                <w:szCs w:val="20"/>
              </w:rPr>
              <w:t>-4%</w:t>
            </w:r>
          </w:p>
        </w:tc>
        <w:tc>
          <w:tcPr>
            <w:tcW w:w="1134" w:type="dxa"/>
          </w:tcPr>
          <w:p w:rsidR="00620C89" w:rsidRPr="003C2FBF" w:rsidRDefault="00761B7C" w:rsidP="00620C89">
            <w:pPr>
              <w:jc w:val="center"/>
              <w:rPr>
                <w:sz w:val="20"/>
                <w:szCs w:val="20"/>
              </w:rPr>
            </w:pPr>
            <w:r>
              <w:rPr>
                <w:sz w:val="20"/>
                <w:szCs w:val="20"/>
              </w:rPr>
              <w:t>-3%</w:t>
            </w:r>
          </w:p>
        </w:tc>
        <w:tc>
          <w:tcPr>
            <w:tcW w:w="1269" w:type="dxa"/>
          </w:tcPr>
          <w:p w:rsidR="00620C89" w:rsidRPr="003C2FBF" w:rsidRDefault="00761B7C" w:rsidP="00620C89">
            <w:pPr>
              <w:jc w:val="center"/>
              <w:rPr>
                <w:sz w:val="20"/>
                <w:szCs w:val="20"/>
              </w:rPr>
            </w:pPr>
            <w:r>
              <w:rPr>
                <w:sz w:val="20"/>
                <w:szCs w:val="20"/>
              </w:rPr>
              <w:t>-2%</w:t>
            </w:r>
          </w:p>
        </w:tc>
      </w:tr>
      <w:tr w:rsidR="00620C89" w:rsidRPr="003C2FBF" w:rsidTr="00761B7C">
        <w:tc>
          <w:tcPr>
            <w:tcW w:w="1843" w:type="dxa"/>
          </w:tcPr>
          <w:p w:rsidR="00620C89" w:rsidRDefault="00620C89" w:rsidP="00620C89">
            <w:pPr>
              <w:rPr>
                <w:sz w:val="20"/>
                <w:szCs w:val="20"/>
              </w:rPr>
            </w:pPr>
            <w:r>
              <w:rPr>
                <w:sz w:val="20"/>
                <w:szCs w:val="20"/>
              </w:rPr>
              <w:t>Impact sur les taxes</w:t>
            </w:r>
          </w:p>
        </w:tc>
        <w:tc>
          <w:tcPr>
            <w:tcW w:w="1275" w:type="dxa"/>
          </w:tcPr>
          <w:p w:rsidR="00620C89" w:rsidRDefault="00620C89" w:rsidP="00620C89">
            <w:pPr>
              <w:jc w:val="center"/>
              <w:rPr>
                <w:sz w:val="20"/>
                <w:szCs w:val="20"/>
              </w:rPr>
            </w:pPr>
            <w:r>
              <w:rPr>
                <w:sz w:val="20"/>
                <w:szCs w:val="20"/>
              </w:rPr>
              <w:t>-5%</w:t>
            </w:r>
          </w:p>
        </w:tc>
        <w:tc>
          <w:tcPr>
            <w:tcW w:w="1134" w:type="dxa"/>
          </w:tcPr>
          <w:p w:rsidR="00620C89" w:rsidRPr="003C2FBF" w:rsidRDefault="00620C89" w:rsidP="00620C89">
            <w:pPr>
              <w:jc w:val="center"/>
              <w:rPr>
                <w:sz w:val="20"/>
                <w:szCs w:val="20"/>
              </w:rPr>
            </w:pPr>
            <w:r>
              <w:rPr>
                <w:sz w:val="20"/>
                <w:szCs w:val="20"/>
              </w:rPr>
              <w:t>-3%</w:t>
            </w:r>
          </w:p>
        </w:tc>
        <w:tc>
          <w:tcPr>
            <w:tcW w:w="1134" w:type="dxa"/>
          </w:tcPr>
          <w:p w:rsidR="00620C89" w:rsidRPr="003C2FBF" w:rsidRDefault="003A0376" w:rsidP="00620C89">
            <w:pPr>
              <w:jc w:val="center"/>
              <w:rPr>
                <w:sz w:val="20"/>
                <w:szCs w:val="20"/>
              </w:rPr>
            </w:pPr>
            <w:r>
              <w:rPr>
                <w:sz w:val="20"/>
                <w:szCs w:val="20"/>
              </w:rPr>
              <w:t>-3</w:t>
            </w:r>
            <w:r w:rsidR="00761B7C">
              <w:rPr>
                <w:sz w:val="20"/>
                <w:szCs w:val="20"/>
              </w:rPr>
              <w:t>%</w:t>
            </w:r>
          </w:p>
        </w:tc>
        <w:tc>
          <w:tcPr>
            <w:tcW w:w="1269" w:type="dxa"/>
          </w:tcPr>
          <w:p w:rsidR="00620C89" w:rsidRPr="003C2FBF" w:rsidRDefault="00761B7C" w:rsidP="00620C89">
            <w:pPr>
              <w:jc w:val="center"/>
              <w:rPr>
                <w:sz w:val="20"/>
                <w:szCs w:val="20"/>
              </w:rPr>
            </w:pPr>
            <w:r>
              <w:rPr>
                <w:sz w:val="20"/>
                <w:szCs w:val="20"/>
              </w:rPr>
              <w:t>-2%</w:t>
            </w:r>
          </w:p>
        </w:tc>
      </w:tr>
    </w:tbl>
    <w:p w:rsidR="00761B7C" w:rsidRDefault="00761B7C"/>
    <w:p w:rsidR="00CF66D6" w:rsidRDefault="00761B7C">
      <w:r>
        <w:lastRenderedPageBreak/>
        <w:t>Ce tableau démontre que les immeubles qui ont connu des augmentions s’en tirent</w:t>
      </w:r>
      <w:r w:rsidR="00A32328">
        <w:t xml:space="preserve"> relativement</w:t>
      </w:r>
      <w:r>
        <w:t xml:space="preserve"> bien </w:t>
      </w:r>
      <w:r w:rsidR="003A0376">
        <w:t>alors que</w:t>
      </w:r>
      <w:r w:rsidR="009F15E3">
        <w:t xml:space="preserve"> l’écart entre </w:t>
      </w:r>
      <w:r w:rsidR="003A0376">
        <w:t xml:space="preserve">leurs valeurs </w:t>
      </w:r>
      <w:r w:rsidR="000D1DAC">
        <w:t>municipales</w:t>
      </w:r>
      <w:r w:rsidR="009F15E3">
        <w:t xml:space="preserve"> et </w:t>
      </w:r>
      <w:r w:rsidR="003A0376">
        <w:t>étalées</w:t>
      </w:r>
      <w:r w:rsidR="009F15E3">
        <w:t>, varie de</w:t>
      </w:r>
      <w:r w:rsidR="00A32328">
        <w:t xml:space="preserve"> 7 à 14%</w:t>
      </w:r>
      <w:r w:rsidR="009F15E3">
        <w:t xml:space="preserve">. </w:t>
      </w:r>
      <w:r w:rsidR="00A32328">
        <w:t xml:space="preserve">En contrepartie, les propriétés qui ont connu une baisse ne profitent que d’une </w:t>
      </w:r>
      <w:r w:rsidR="00CB7071">
        <w:t>réduction</w:t>
      </w:r>
      <w:r w:rsidR="00A32328">
        <w:t xml:space="preserve"> variant de </w:t>
      </w:r>
      <w:r w:rsidR="003A0376">
        <w:t>4 à 8</w:t>
      </w:r>
      <w:r w:rsidR="009F15E3">
        <w:t>%.</w:t>
      </w:r>
      <w:r w:rsidR="00A32328">
        <w:t xml:space="preserve"> </w:t>
      </w:r>
    </w:p>
    <w:p w:rsidR="00AB266D" w:rsidRPr="00AB266D" w:rsidRDefault="0017214B">
      <w:pPr>
        <w:rPr>
          <w:b/>
        </w:rPr>
      </w:pPr>
      <w:r>
        <w:rPr>
          <w:b/>
        </w:rPr>
        <w:t xml:space="preserve">Comment expliquer les </w:t>
      </w:r>
      <w:r w:rsidR="00046B7C">
        <w:rPr>
          <w:b/>
        </w:rPr>
        <w:t xml:space="preserve">impacts de </w:t>
      </w:r>
      <w:r>
        <w:rPr>
          <w:b/>
        </w:rPr>
        <w:t>ces</w:t>
      </w:r>
      <w:r w:rsidR="00046B7C">
        <w:rPr>
          <w:b/>
        </w:rPr>
        <w:t xml:space="preserve"> baisses ou de ces augment</w:t>
      </w:r>
      <w:r>
        <w:rPr>
          <w:b/>
        </w:rPr>
        <w:t>a</w:t>
      </w:r>
      <w:r w:rsidR="00046B7C">
        <w:rPr>
          <w:b/>
        </w:rPr>
        <w:t>t</w:t>
      </w:r>
      <w:r>
        <w:rPr>
          <w:b/>
        </w:rPr>
        <w:t>ions de valeur</w:t>
      </w:r>
      <w:r w:rsidR="00046B7C">
        <w:rPr>
          <w:b/>
        </w:rPr>
        <w:t>s</w:t>
      </w:r>
      <w:r w:rsidR="00B117C6">
        <w:rPr>
          <w:b/>
        </w:rPr>
        <w:t>?</w:t>
      </w:r>
    </w:p>
    <w:p w:rsidR="00CF66D6" w:rsidRDefault="002824E1">
      <w:r>
        <w:t>En partie</w:t>
      </w:r>
      <w:r w:rsidR="00046B7C">
        <w:t>, les écarts</w:t>
      </w:r>
      <w:r w:rsidR="003A0376">
        <w:t xml:space="preserve"> </w:t>
      </w:r>
      <w:r w:rsidR="00046B7C">
        <w:t xml:space="preserve">peuvent </w:t>
      </w:r>
      <w:r w:rsidR="003A0376">
        <w:t>s’expliquer par le fait que certains</w:t>
      </w:r>
      <w:r w:rsidR="00F319AA">
        <w:t xml:space="preserve"> taux </w:t>
      </w:r>
      <w:r w:rsidR="005940D0">
        <w:t>de taxes augmentent (ordures +3,5%, piscine +11%, transport +1,12%, infrastructur</w:t>
      </w:r>
      <w:r w:rsidR="00AB266D">
        <w:t>es +7,27%, nouvelle ville +2%) tandis que</w:t>
      </w:r>
      <w:r w:rsidR="005940D0">
        <w:t xml:space="preserve"> d’autres diminuent (</w:t>
      </w:r>
      <w:proofErr w:type="gramStart"/>
      <w:r w:rsidR="005940D0">
        <w:t>ex ville</w:t>
      </w:r>
      <w:proofErr w:type="gramEnd"/>
      <w:r w:rsidR="005940D0">
        <w:t xml:space="preserve"> -31%, taxe générale -0,06%). </w:t>
      </w:r>
    </w:p>
    <w:p w:rsidR="00CB7071" w:rsidRDefault="00046B7C">
      <w:r>
        <w:t>L’augme</w:t>
      </w:r>
      <w:r w:rsidR="000D779D">
        <w:t>ntation ou la baisse de valeur</w:t>
      </w:r>
      <w:r w:rsidR="00CB7071">
        <w:t xml:space="preserve"> </w:t>
      </w:r>
      <w:r w:rsidR="00983420">
        <w:t>sera répartie</w:t>
      </w:r>
      <w:r w:rsidR="00CB7071">
        <w:t xml:space="preserve"> sur une période de trois ans</w:t>
      </w:r>
      <w:r w:rsidR="000D779D">
        <w:t xml:space="preserve"> (processus d’étalement)</w:t>
      </w:r>
      <w:r w:rsidR="00CB7071">
        <w:t xml:space="preserve">; si bien que la pleine valeur </w:t>
      </w:r>
      <w:r w:rsidR="000D1DAC">
        <w:t xml:space="preserve">municipale </w:t>
      </w:r>
      <w:r w:rsidR="00CB7071">
        <w:t xml:space="preserve">n’entrera en vigueur qu’en 2023. Avec le temps, les besoins financiers de la ville </w:t>
      </w:r>
      <w:r w:rsidR="00FA7C23">
        <w:t>changeront</w:t>
      </w:r>
      <w:r w:rsidR="00CB7071">
        <w:t xml:space="preserve"> et</w:t>
      </w:r>
      <w:r>
        <w:t>, en conséquence,</w:t>
      </w:r>
      <w:r w:rsidR="00CB7071">
        <w:t xml:space="preserve"> les taux de taxes seront donc ajustés. </w:t>
      </w:r>
      <w:r w:rsidR="00B117C6">
        <w:t>Puisqu’i</w:t>
      </w:r>
      <w:r w:rsidR="00CB7071">
        <w:t>l est fort à pa</w:t>
      </w:r>
      <w:r w:rsidR="000D1DAC">
        <w:t xml:space="preserve">rier que les </w:t>
      </w:r>
      <w:r>
        <w:t>besoins de la ville augmenteront</w:t>
      </w:r>
      <w:r w:rsidR="00B117C6">
        <w:t xml:space="preserve">, </w:t>
      </w:r>
      <w:r w:rsidR="00FA7C23">
        <w:t xml:space="preserve">toute </w:t>
      </w:r>
      <w:r w:rsidR="00CB7071">
        <w:t xml:space="preserve">hausse de valeur </w:t>
      </w:r>
      <w:r w:rsidR="00FA7C23">
        <w:t xml:space="preserve">municipale aura un impact significatif </w:t>
      </w:r>
      <w:r w:rsidR="00B117C6">
        <w:t>sur le compte de taxes pour</w:t>
      </w:r>
      <w:r w:rsidR="00CB7071">
        <w:t xml:space="preserve"> la durée du rôle triennal</w:t>
      </w:r>
      <w:r w:rsidR="00FA7C23">
        <w:t>; particulièrement en 2023</w:t>
      </w:r>
      <w:r>
        <w:t xml:space="preserve"> quand la propriété atteindra sa pleine valeur municipale</w:t>
      </w:r>
      <w:r w:rsidR="00CB7071">
        <w:t xml:space="preserve">. </w:t>
      </w:r>
    </w:p>
    <w:p w:rsidR="003C2FBF" w:rsidRDefault="00CB7071">
      <w:r>
        <w:t xml:space="preserve">Entretemps, </w:t>
      </w:r>
      <w:r w:rsidR="005940D0">
        <w:t xml:space="preserve">il </w:t>
      </w:r>
      <w:r>
        <w:t>semble</w:t>
      </w:r>
      <w:r w:rsidR="005940D0">
        <w:t xml:space="preserve"> que le processus d’étalement entraîne des iniquités entre les propriétés </w:t>
      </w:r>
      <w:r w:rsidR="00E241F8">
        <w:t>dont la valeur a augmenté</w:t>
      </w:r>
      <w:r w:rsidR="005940D0">
        <w:t xml:space="preserve"> par rapport à celles dont les valeurs ont diminué. Certains pourraient </w:t>
      </w:r>
      <w:r w:rsidR="00CF66D6">
        <w:t xml:space="preserve">même </w:t>
      </w:r>
      <w:r w:rsidR="005940D0">
        <w:t>arguer que ces dernières compensent pour le manque à gagner</w:t>
      </w:r>
      <w:r w:rsidR="00CF66D6">
        <w:t xml:space="preserve"> </w:t>
      </w:r>
      <w:proofErr w:type="gramStart"/>
      <w:r w:rsidR="00CF66D6">
        <w:t>des  propriétés</w:t>
      </w:r>
      <w:proofErr w:type="gramEnd"/>
      <w:r w:rsidR="00CF66D6">
        <w:t xml:space="preserve"> qui ont une valeur en hausse. Comme le disait si bien le chimiste Antoine Lavoisier : </w:t>
      </w:r>
      <w:r w:rsidR="00CF66D6" w:rsidRPr="00E241F8">
        <w:rPr>
          <w:b/>
          <w:i/>
        </w:rPr>
        <w:t>‘’Rien ne se perd, rien ne se crée, tout se transforme’’</w:t>
      </w:r>
      <w:r w:rsidR="00CF66D6">
        <w:t>.</w:t>
      </w:r>
    </w:p>
    <w:p w:rsidR="006F4A7E" w:rsidRPr="00FA1F0E" w:rsidRDefault="00FA1F0E">
      <w:pPr>
        <w:rPr>
          <w:b/>
        </w:rPr>
      </w:pPr>
      <w:r w:rsidRPr="00FA1F0E">
        <w:rPr>
          <w:b/>
        </w:rPr>
        <w:t>Contester ou non son évaluation municipale</w:t>
      </w:r>
      <w:r>
        <w:rPr>
          <w:b/>
        </w:rPr>
        <w:t>?</w:t>
      </w:r>
    </w:p>
    <w:p w:rsidR="00B117C6" w:rsidRDefault="00E36AD1">
      <w:r>
        <w:t>Selon la Ville, l</w:t>
      </w:r>
      <w:r w:rsidR="00FA7C23">
        <w:t>’augmentation moyenne</w:t>
      </w:r>
      <w:r w:rsidR="00B117C6">
        <w:t xml:space="preserve"> des valeurs r</w:t>
      </w:r>
      <w:r>
        <w:t>ésidentielles</w:t>
      </w:r>
      <w:r w:rsidR="00B117C6">
        <w:t xml:space="preserve"> </w:t>
      </w:r>
      <w:r w:rsidR="00FA7C23">
        <w:t>est de 6%</w:t>
      </w:r>
      <w:r w:rsidR="00DD3581">
        <w:t xml:space="preserve"> pour la période de 2016 à 2019</w:t>
      </w:r>
      <w:r w:rsidR="00FA7C23">
        <w:t xml:space="preserve">. </w:t>
      </w:r>
      <w:r w:rsidR="00B117C6">
        <w:t>Au-delà de cette hausse moyenne, i</w:t>
      </w:r>
      <w:r w:rsidR="00FA1F0E">
        <w:t xml:space="preserve">l y a des évaluations qui méritent d’être revues. </w:t>
      </w:r>
    </w:p>
    <w:p w:rsidR="00AC7B1C" w:rsidRDefault="00FA1F0E">
      <w:r>
        <w:t xml:space="preserve">L’analyse qui précède peut servir de base </w:t>
      </w:r>
      <w:r w:rsidR="00DD3581">
        <w:t xml:space="preserve">mais </w:t>
      </w:r>
      <w:r>
        <w:t>la comparaison entre</w:t>
      </w:r>
      <w:r w:rsidR="00D83FDE">
        <w:t xml:space="preserve"> les évaluations municipales des </w:t>
      </w:r>
      <w:r>
        <w:t>voisins (</w:t>
      </w:r>
      <w:r w:rsidR="00DD3581">
        <w:t>dit</w:t>
      </w:r>
      <w:r w:rsidR="00B117C6">
        <w:t>e ‘’</w:t>
      </w:r>
      <w:r>
        <w:t>équité horizontale</w:t>
      </w:r>
      <w:r w:rsidR="00B117C6">
        <w:t>’’</w:t>
      </w:r>
      <w:r>
        <w:t xml:space="preserve">), n’est pas </w:t>
      </w:r>
      <w:r w:rsidR="000E4728">
        <w:t>un argument</w:t>
      </w:r>
      <w:r>
        <w:t xml:space="preserve"> </w:t>
      </w:r>
      <w:r w:rsidR="00B117C6">
        <w:t xml:space="preserve">généralement </w:t>
      </w:r>
      <w:r>
        <w:t>retenu par les tribunaux</w:t>
      </w:r>
      <w:r w:rsidR="00DD3581">
        <w:t xml:space="preserve"> au Québec</w:t>
      </w:r>
      <w:r>
        <w:t xml:space="preserve">. </w:t>
      </w:r>
      <w:r w:rsidR="00DD3581" w:rsidRPr="00046B7C">
        <w:rPr>
          <w:b/>
          <w:i/>
        </w:rPr>
        <w:t>Elle pourrait toutefois</w:t>
      </w:r>
      <w:r w:rsidR="00D83FDE" w:rsidRPr="00046B7C">
        <w:rPr>
          <w:b/>
          <w:i/>
        </w:rPr>
        <w:t xml:space="preserve"> servir dans vos discussi</w:t>
      </w:r>
      <w:r w:rsidR="00046B7C">
        <w:rPr>
          <w:b/>
          <w:i/>
        </w:rPr>
        <w:t xml:space="preserve">ons avec l’évaluateur municipal et </w:t>
      </w:r>
      <w:r w:rsidR="00046B7C" w:rsidRPr="00046B7C">
        <w:rPr>
          <w:b/>
          <w:i/>
        </w:rPr>
        <w:t>u</w:t>
      </w:r>
      <w:r w:rsidR="00B117C6" w:rsidRPr="00046B7C">
        <w:rPr>
          <w:b/>
          <w:i/>
        </w:rPr>
        <w:t>ne telle discussion pourrait vous aider à</w:t>
      </w:r>
      <w:r w:rsidR="00D83FDE" w:rsidRPr="00046B7C">
        <w:rPr>
          <w:b/>
          <w:i/>
        </w:rPr>
        <w:t xml:space="preserve"> comprendre les bases su</w:t>
      </w:r>
      <w:r w:rsidR="00AB266D" w:rsidRPr="00046B7C">
        <w:rPr>
          <w:b/>
          <w:i/>
        </w:rPr>
        <w:t>r lesquelles votre propriété a été</w:t>
      </w:r>
      <w:r w:rsidR="00D83FDE" w:rsidRPr="00046B7C">
        <w:rPr>
          <w:b/>
          <w:i/>
        </w:rPr>
        <w:t xml:space="preserve"> portée au rôle.</w:t>
      </w:r>
      <w:r w:rsidR="00D83FDE">
        <w:t xml:space="preserve"> </w:t>
      </w:r>
    </w:p>
    <w:p w:rsidR="00983420" w:rsidRDefault="00983420"/>
    <w:p w:rsidR="00983420" w:rsidRDefault="00983420"/>
    <w:p w:rsidR="00983420" w:rsidRDefault="00983420"/>
    <w:p w:rsidR="00983420" w:rsidRDefault="00983420"/>
    <w:p w:rsidR="00983420" w:rsidRDefault="00983420"/>
    <w:p w:rsidR="00CF66D6" w:rsidRDefault="009731D8">
      <w:r>
        <w:lastRenderedPageBreak/>
        <w:t>Avant toute rencontre avec le service d’évaluation</w:t>
      </w:r>
      <w:r w:rsidR="00B117C6">
        <w:t>, i</w:t>
      </w:r>
      <w:r w:rsidR="00CF66D6">
        <w:t>l est recommandé de vous préparer afin d’avoir des éléments de discussion</w:t>
      </w:r>
      <w:r w:rsidR="00AC7B1C">
        <w:t xml:space="preserve"> qui pourraient aider votre cause et mener à une révision de votre évaluation municipale. </w:t>
      </w:r>
      <w:r w:rsidR="00CF66D6">
        <w:t xml:space="preserve">Pour ce faire, voici une liste </w:t>
      </w:r>
      <w:r w:rsidR="00AC7B1C">
        <w:t xml:space="preserve">de documents susceptibles de </w:t>
      </w:r>
      <w:r w:rsidR="00CF66D6">
        <w:t>vous aider :</w:t>
      </w:r>
    </w:p>
    <w:p w:rsidR="00CF66D6" w:rsidRDefault="00CF66D6" w:rsidP="00CF66D6">
      <w:pPr>
        <w:pStyle w:val="Paragraphedeliste"/>
        <w:numPr>
          <w:ilvl w:val="0"/>
          <w:numId w:val="1"/>
        </w:numPr>
      </w:pPr>
      <w:r>
        <w:t>Rapport d’expertise d’un professionnel du domaine de l’évaluation;</w:t>
      </w:r>
    </w:p>
    <w:p w:rsidR="00CF66D6" w:rsidRDefault="00CF66D6" w:rsidP="00CF66D6">
      <w:pPr>
        <w:pStyle w:val="Paragraphedeliste"/>
        <w:numPr>
          <w:ilvl w:val="0"/>
          <w:numId w:val="1"/>
        </w:numPr>
      </w:pPr>
      <w:r>
        <w:t>Rapport d’inspection</w:t>
      </w:r>
      <w:r w:rsidR="00FB24E3">
        <w:t xml:space="preserve"> professionnel</w:t>
      </w:r>
      <w:r>
        <w:t>;</w:t>
      </w:r>
    </w:p>
    <w:p w:rsidR="00CF66D6" w:rsidRDefault="00CF66D6" w:rsidP="00CF66D6">
      <w:pPr>
        <w:pStyle w:val="Paragraphedeliste"/>
        <w:numPr>
          <w:ilvl w:val="0"/>
          <w:numId w:val="1"/>
        </w:numPr>
      </w:pPr>
      <w:r>
        <w:t>Liste de travaux à faire</w:t>
      </w:r>
      <w:r w:rsidR="00B117C6">
        <w:t xml:space="preserve"> -</w:t>
      </w:r>
      <w:r>
        <w:t xml:space="preserve"> préférablement avec des estimés d’entrepreneurs;</w:t>
      </w:r>
    </w:p>
    <w:p w:rsidR="00CF66D6" w:rsidRDefault="00AC7B1C" w:rsidP="00CF66D6">
      <w:pPr>
        <w:pStyle w:val="Paragraphedeliste"/>
        <w:numPr>
          <w:ilvl w:val="0"/>
          <w:numId w:val="1"/>
        </w:numPr>
      </w:pPr>
      <w:r>
        <w:t>Données sur les ventes ou sur votre propriété (p.ex.</w:t>
      </w:r>
      <w:r w:rsidR="00FB24E3">
        <w:t xml:space="preserve"> </w:t>
      </w:r>
      <w:proofErr w:type="spellStart"/>
      <w:r w:rsidR="00FB24E3">
        <w:t>Centris</w:t>
      </w:r>
      <w:proofErr w:type="spellEnd"/>
      <w:r w:rsidR="00FB24E3">
        <w:t xml:space="preserve"> ou autre</w:t>
      </w:r>
      <w:r>
        <w:t>)</w:t>
      </w:r>
      <w:r w:rsidR="00FB24E3">
        <w:t>;</w:t>
      </w:r>
    </w:p>
    <w:p w:rsidR="00FB24E3" w:rsidRDefault="00AC7B1C" w:rsidP="00CF66D6">
      <w:pPr>
        <w:pStyle w:val="Paragraphedeliste"/>
        <w:numPr>
          <w:ilvl w:val="0"/>
          <w:numId w:val="1"/>
        </w:numPr>
      </w:pPr>
      <w:r>
        <w:t>Acte d’achat;</w:t>
      </w:r>
    </w:p>
    <w:p w:rsidR="00FB24E3" w:rsidRDefault="00FB24E3" w:rsidP="00CF66D6">
      <w:pPr>
        <w:pStyle w:val="Paragraphedeliste"/>
        <w:numPr>
          <w:ilvl w:val="0"/>
          <w:numId w:val="1"/>
        </w:numPr>
      </w:pPr>
      <w:r>
        <w:t>Certificat de localisation</w:t>
      </w:r>
      <w:r w:rsidR="00AC7B1C">
        <w:t>.</w:t>
      </w:r>
    </w:p>
    <w:p w:rsidR="00AC7B1C" w:rsidRDefault="00AC7B1C">
      <w:r w:rsidRPr="00046B7C">
        <w:rPr>
          <w:b/>
          <w:i/>
        </w:rPr>
        <w:t xml:space="preserve">Rappelons que l’évaluation municipale est </w:t>
      </w:r>
      <w:r w:rsidR="00046B7C">
        <w:rPr>
          <w:b/>
          <w:i/>
        </w:rPr>
        <w:t xml:space="preserve">établie </w:t>
      </w:r>
      <w:r w:rsidRPr="00046B7C">
        <w:rPr>
          <w:b/>
          <w:i/>
        </w:rPr>
        <w:t xml:space="preserve">en fonction </w:t>
      </w:r>
      <w:r w:rsidR="00C229A5" w:rsidRPr="00046B7C">
        <w:rPr>
          <w:b/>
          <w:i/>
        </w:rPr>
        <w:t>de votre propriété et des ventes du secteur.</w:t>
      </w:r>
      <w:r w:rsidR="00C229A5">
        <w:t xml:space="preserve"> Une bonne connaissance de </w:t>
      </w:r>
      <w:r w:rsidR="00B117C6">
        <w:t xml:space="preserve">votre propriété et de ces ventes </w:t>
      </w:r>
      <w:r w:rsidR="00C229A5">
        <w:t xml:space="preserve">vous </w:t>
      </w:r>
      <w:r w:rsidR="00B117C6">
        <w:t>aidera</w:t>
      </w:r>
      <w:r w:rsidR="00C229A5">
        <w:t xml:space="preserve"> grandement.</w:t>
      </w:r>
    </w:p>
    <w:p w:rsidR="00046B7C" w:rsidRDefault="00046B7C">
      <w:r>
        <w:t>En cas de refus de la ville de modifier votre évaluation municipale, vous pourriez</w:t>
      </w:r>
      <w:r w:rsidR="00D83FDE">
        <w:t xml:space="preserve"> décider d’aller de l’avant</w:t>
      </w:r>
      <w:r>
        <w:t xml:space="preserve"> avec une contestation formelle. I</w:t>
      </w:r>
      <w:r w:rsidR="00D83FDE">
        <w:t xml:space="preserve">l y aura des frais à assumer et possiblement des experts à engager. </w:t>
      </w:r>
      <w:r w:rsidR="006F30DE">
        <w:t xml:space="preserve">De plus, </w:t>
      </w:r>
      <w:r w:rsidR="00AB266D">
        <w:t xml:space="preserve">dans le cadre d’une audition au Tribunal administratif du Québec (TAQ), </w:t>
      </w:r>
      <w:r w:rsidR="00C229A5">
        <w:t xml:space="preserve">il vous revient de démontrer que l’évaluation municipale est erronée. </w:t>
      </w:r>
    </w:p>
    <w:p w:rsidR="006F30DE" w:rsidRDefault="006F30DE">
      <w:r>
        <w:t xml:space="preserve">Avant de décider de votre plan d’action, il faut se poser quelques questions : </w:t>
      </w:r>
      <w:r w:rsidR="00AB266D">
        <w:t>‘’</w:t>
      </w:r>
      <w:r>
        <w:t>Avez-vous apporté certains changements à votre résidence, tels des rénovations, ajouts ou autres entre juillet 2016 et 2019?</w:t>
      </w:r>
      <w:r w:rsidR="00AB266D">
        <w:t>’’</w:t>
      </w:r>
      <w:r>
        <w:t xml:space="preserve"> En contrepartie</w:t>
      </w:r>
      <w:r w:rsidR="0021521F">
        <w:t>; ‘’Est-ce que ma</w:t>
      </w:r>
      <w:r>
        <w:t xml:space="preserve"> propriété nécessitait des travaux en juillet 2019 et qui </w:t>
      </w:r>
      <w:r w:rsidR="00AB266D">
        <w:t xml:space="preserve">n’ont pas encore été complétés?’’ </w:t>
      </w:r>
      <w:r w:rsidR="0021521F">
        <w:t xml:space="preserve">Aussi, </w:t>
      </w:r>
      <w:r w:rsidR="00AB266D">
        <w:t>‘’</w:t>
      </w:r>
      <w:r w:rsidR="00BC78EA">
        <w:t xml:space="preserve">Quel est l’impact fiscal d’une baisse de </w:t>
      </w:r>
      <w:r w:rsidR="00AB266D">
        <w:t xml:space="preserve">valeur réelle pour ma propriété?’’ </w:t>
      </w:r>
      <w:r w:rsidR="00AB266D" w:rsidRPr="00C229A5">
        <w:rPr>
          <w:b/>
          <w:i/>
        </w:rPr>
        <w:t xml:space="preserve">Autrement dit, est-ce que </w:t>
      </w:r>
      <w:r w:rsidR="00C229A5">
        <w:rPr>
          <w:b/>
          <w:i/>
        </w:rPr>
        <w:t>la</w:t>
      </w:r>
      <w:r w:rsidR="00157D2E" w:rsidRPr="00C229A5">
        <w:rPr>
          <w:b/>
          <w:i/>
        </w:rPr>
        <w:t xml:space="preserve"> baisse de taxes municipales</w:t>
      </w:r>
      <w:r w:rsidR="00C229A5">
        <w:rPr>
          <w:b/>
          <w:i/>
        </w:rPr>
        <w:t xml:space="preserve"> couvrira les frais d’une contestation</w:t>
      </w:r>
      <w:r w:rsidR="00157D2E" w:rsidRPr="00C229A5">
        <w:rPr>
          <w:b/>
          <w:i/>
        </w:rPr>
        <w:t>?</w:t>
      </w:r>
      <w:r w:rsidR="00157D2E">
        <w:t xml:space="preserve"> </w:t>
      </w:r>
    </w:p>
    <w:p w:rsidR="00157D2E" w:rsidRPr="0006233A" w:rsidRDefault="00157D2E">
      <w:r>
        <w:t xml:space="preserve">En bout de ligne, vous devez retenir que l’évaluation municipale aura des impacts financiers sur de nombreuses années et non seulement pour le rôle triennal en vigueur car elle établira la base </w:t>
      </w:r>
      <w:r w:rsidR="0021521F">
        <w:t>pour le prochain rôle municipal</w:t>
      </w:r>
      <w:r>
        <w:t xml:space="preserve"> qui </w:t>
      </w:r>
      <w:r w:rsidR="00C229A5">
        <w:t>entrera</w:t>
      </w:r>
      <w:r w:rsidR="0021521F">
        <w:t xml:space="preserve"> en vigueur à compter de janvier 2023</w:t>
      </w:r>
      <w:r>
        <w:t xml:space="preserve">. </w:t>
      </w:r>
      <w:r w:rsidR="0034279D" w:rsidRPr="00780FC1">
        <w:rPr>
          <w:b/>
          <w:i/>
        </w:rPr>
        <w:t xml:space="preserve">Une évaluation municipale erronée </w:t>
      </w:r>
      <w:r w:rsidR="00780FC1">
        <w:rPr>
          <w:b/>
          <w:i/>
        </w:rPr>
        <w:t>pourrait</w:t>
      </w:r>
      <w:r w:rsidR="0034279D" w:rsidRPr="00780FC1">
        <w:rPr>
          <w:b/>
          <w:i/>
        </w:rPr>
        <w:t xml:space="preserve"> un impact à long terme sur le</w:t>
      </w:r>
      <w:r w:rsidR="0006233A">
        <w:rPr>
          <w:b/>
          <w:i/>
        </w:rPr>
        <w:t xml:space="preserve"> montant de</w:t>
      </w:r>
      <w:r w:rsidR="0034279D" w:rsidRPr="00780FC1">
        <w:rPr>
          <w:b/>
          <w:i/>
        </w:rPr>
        <w:t xml:space="preserve"> taxes </w:t>
      </w:r>
      <w:r w:rsidR="0006233A">
        <w:rPr>
          <w:b/>
          <w:i/>
        </w:rPr>
        <w:t xml:space="preserve">(municipales et scolaires) </w:t>
      </w:r>
      <w:r w:rsidR="0034279D" w:rsidRPr="00780FC1">
        <w:rPr>
          <w:b/>
          <w:i/>
        </w:rPr>
        <w:t xml:space="preserve">mais aussi sur une éventuelle vente pour un acheteur potentiel. </w:t>
      </w:r>
      <w:r w:rsidR="0006233A">
        <w:t>À cet égard, un acheteur averti pourrait se rebuter à payer le même prix pour votre propriété qu’une autre semblable avec un compte de taxes plus bas.</w:t>
      </w:r>
    </w:p>
    <w:p w:rsidR="00157D2E" w:rsidRDefault="002025C7">
      <w:r>
        <w:t xml:space="preserve">Il est important de noter que </w:t>
      </w:r>
      <w:r w:rsidRPr="00C229A5">
        <w:rPr>
          <w:b/>
          <w:i/>
        </w:rPr>
        <w:t>la date limite pour déposer une demande de révision du rôle municipal est le 1</w:t>
      </w:r>
      <w:r w:rsidRPr="00C229A5">
        <w:rPr>
          <w:b/>
          <w:i/>
          <w:vertAlign w:val="superscript"/>
        </w:rPr>
        <w:t>er</w:t>
      </w:r>
      <w:r w:rsidRPr="00C229A5">
        <w:rPr>
          <w:b/>
          <w:i/>
        </w:rPr>
        <w:t xml:space="preserve"> mai 2021.</w:t>
      </w:r>
      <w:r>
        <w:t xml:space="preserve"> À ce moment, vous devrez aussi vous acquitter des frais </w:t>
      </w:r>
      <w:r w:rsidR="00370780">
        <w:t xml:space="preserve">(un minimum de 75$) </w:t>
      </w:r>
      <w:r>
        <w:t xml:space="preserve">qui varient selon la valeur de l’immeuble, telle qu’elle est inscrite au rôle. Toutefois, ce </w:t>
      </w:r>
      <w:r w:rsidR="0021521F">
        <w:t>frais</w:t>
      </w:r>
      <w:r>
        <w:t xml:space="preserve"> n’est </w:t>
      </w:r>
      <w:r w:rsidR="0021521F">
        <w:t xml:space="preserve">malheureusement </w:t>
      </w:r>
      <w:r>
        <w:t>pas remboursable</w:t>
      </w:r>
      <w:r w:rsidR="0021521F">
        <w:t>,</w:t>
      </w:r>
      <w:r>
        <w:t xml:space="preserve"> même si vous avez gain de cause. </w:t>
      </w:r>
    </w:p>
    <w:p w:rsidR="0006233A" w:rsidRDefault="0006233A"/>
    <w:p w:rsidR="0006233A" w:rsidRDefault="0006233A"/>
    <w:p w:rsidR="008A74B8" w:rsidRPr="002025C7" w:rsidRDefault="00E241F8">
      <w:pPr>
        <w:rPr>
          <w:b/>
          <w:i/>
        </w:rPr>
      </w:pPr>
      <w:r w:rsidRPr="002025C7">
        <w:rPr>
          <w:b/>
          <w:i/>
        </w:rPr>
        <w:lastRenderedPageBreak/>
        <w:t xml:space="preserve">Quelques </w:t>
      </w:r>
      <w:r w:rsidR="00F319AA" w:rsidRPr="002025C7">
        <w:rPr>
          <w:b/>
          <w:i/>
        </w:rPr>
        <w:t>liens utiles</w:t>
      </w:r>
      <w:r w:rsidR="008A74B8" w:rsidRPr="002025C7">
        <w:rPr>
          <w:b/>
          <w:i/>
        </w:rPr>
        <w:t xml:space="preserve">: </w:t>
      </w:r>
    </w:p>
    <w:p w:rsidR="008A74B8" w:rsidRPr="002025C7" w:rsidRDefault="00CB7071" w:rsidP="008A74B8">
      <w:pPr>
        <w:pStyle w:val="Paragraphedeliste"/>
        <w:numPr>
          <w:ilvl w:val="0"/>
          <w:numId w:val="1"/>
        </w:numPr>
        <w:rPr>
          <w:b/>
          <w:i/>
        </w:rPr>
      </w:pPr>
      <w:r w:rsidRPr="002025C7">
        <w:rPr>
          <w:b/>
          <w:i/>
        </w:rPr>
        <w:t xml:space="preserve">Évaluation municipale : </w:t>
      </w:r>
      <w:hyperlink r:id="rId8" w:history="1">
        <w:r w:rsidR="008A74B8" w:rsidRPr="002025C7">
          <w:rPr>
            <w:rStyle w:val="Lienhypertexte"/>
            <w:b/>
            <w:i/>
          </w:rPr>
          <w:t>https://www.gatineau.ca/portail/default.aspx?p=guichet_municipal/evaluation_fonciere&amp;requete=%C3%A9val&amp;ref=haut-de-page</w:t>
        </w:r>
      </w:hyperlink>
    </w:p>
    <w:p w:rsidR="008A74B8" w:rsidRPr="002025C7" w:rsidRDefault="00CB7071" w:rsidP="008A74B8">
      <w:pPr>
        <w:pStyle w:val="Paragraphedeliste"/>
        <w:numPr>
          <w:ilvl w:val="0"/>
          <w:numId w:val="1"/>
        </w:numPr>
        <w:rPr>
          <w:b/>
          <w:i/>
        </w:rPr>
      </w:pPr>
      <w:r w:rsidRPr="002025C7">
        <w:rPr>
          <w:b/>
          <w:i/>
        </w:rPr>
        <w:t xml:space="preserve">Rôle d’évaluation : </w:t>
      </w:r>
      <w:hyperlink r:id="rId9" w:history="1">
        <w:r w:rsidR="008A74B8" w:rsidRPr="002025C7">
          <w:rPr>
            <w:rStyle w:val="Lienhypertexte"/>
            <w:b/>
            <w:i/>
          </w:rPr>
          <w:t>https://www3.gatineau.ca/servicesenligne/evaluation/</w:t>
        </w:r>
      </w:hyperlink>
    </w:p>
    <w:p w:rsidR="008A74B8" w:rsidRPr="002025C7" w:rsidRDefault="00CB7071" w:rsidP="008A74B8">
      <w:pPr>
        <w:pStyle w:val="Paragraphedeliste"/>
        <w:numPr>
          <w:ilvl w:val="0"/>
          <w:numId w:val="1"/>
        </w:numPr>
        <w:rPr>
          <w:b/>
          <w:i/>
        </w:rPr>
      </w:pPr>
      <w:r w:rsidRPr="002025C7">
        <w:rPr>
          <w:b/>
          <w:i/>
        </w:rPr>
        <w:t xml:space="preserve">Taxation municipale: </w:t>
      </w:r>
      <w:hyperlink r:id="rId10" w:history="1">
        <w:r w:rsidR="008A74B8" w:rsidRPr="002025C7">
          <w:rPr>
            <w:rStyle w:val="Lienhypertexte"/>
            <w:b/>
            <w:i/>
          </w:rPr>
          <w:t>https://www3.gatineau.ca/servicesenligne/taxation/</w:t>
        </w:r>
      </w:hyperlink>
    </w:p>
    <w:p w:rsidR="00E241F8" w:rsidRPr="002025C7" w:rsidRDefault="00E241F8" w:rsidP="00E241F8">
      <w:pPr>
        <w:pStyle w:val="Paragraphedeliste"/>
        <w:numPr>
          <w:ilvl w:val="0"/>
          <w:numId w:val="1"/>
        </w:numPr>
        <w:rPr>
          <w:b/>
          <w:i/>
        </w:rPr>
      </w:pPr>
      <w:r w:rsidRPr="002025C7">
        <w:rPr>
          <w:b/>
          <w:i/>
        </w:rPr>
        <w:t xml:space="preserve">Budget – Variation de vos taxes : </w:t>
      </w:r>
      <w:hyperlink r:id="rId11" w:history="1">
        <w:r w:rsidRPr="002025C7">
          <w:rPr>
            <w:rStyle w:val="Lienhypertexte"/>
            <w:b/>
            <w:i/>
          </w:rPr>
          <w:t>https://www.gatineau.ca/docs/guichet_municipal/administration_municipale/budget/budget_2021/depliant.fr-CA.pdf</w:t>
        </w:r>
      </w:hyperlink>
    </w:p>
    <w:p w:rsidR="008A74B8" w:rsidRPr="00086385" w:rsidRDefault="00CB7071" w:rsidP="00CB7071">
      <w:pPr>
        <w:pStyle w:val="Paragraphedeliste"/>
        <w:numPr>
          <w:ilvl w:val="0"/>
          <w:numId w:val="1"/>
        </w:numPr>
        <w:rPr>
          <w:rStyle w:val="Lienhypertexte"/>
          <w:b/>
          <w:i/>
          <w:color w:val="auto"/>
          <w:u w:val="none"/>
        </w:rPr>
      </w:pPr>
      <w:r w:rsidRPr="002025C7">
        <w:rPr>
          <w:b/>
          <w:i/>
        </w:rPr>
        <w:t xml:space="preserve">Ordre des évaluateurs agréés du Québec : </w:t>
      </w:r>
      <w:hyperlink r:id="rId12" w:history="1">
        <w:r w:rsidRPr="002025C7">
          <w:rPr>
            <w:rStyle w:val="Lienhypertexte"/>
            <w:b/>
            <w:i/>
          </w:rPr>
          <w:t>https://oeaq.qc.ca/</w:t>
        </w:r>
      </w:hyperlink>
    </w:p>
    <w:p w:rsidR="00086385" w:rsidRPr="00086385" w:rsidRDefault="00086385" w:rsidP="00086385">
      <w:pPr>
        <w:pStyle w:val="Paragraphedeliste"/>
        <w:numPr>
          <w:ilvl w:val="0"/>
          <w:numId w:val="1"/>
        </w:numPr>
        <w:rPr>
          <w:b/>
          <w:i/>
        </w:rPr>
      </w:pPr>
      <w:proofErr w:type="gramStart"/>
      <w:r w:rsidRPr="00086385">
        <w:rPr>
          <w:b/>
          <w:i/>
        </w:rPr>
        <w:t>Institut canadiens</w:t>
      </w:r>
      <w:proofErr w:type="gramEnd"/>
      <w:r w:rsidRPr="00086385">
        <w:rPr>
          <w:b/>
          <w:i/>
        </w:rPr>
        <w:t xml:space="preserve"> des évaluateurs :</w:t>
      </w:r>
      <w:r w:rsidRPr="00086385">
        <w:rPr>
          <w:b/>
        </w:rPr>
        <w:t xml:space="preserve"> </w:t>
      </w:r>
      <w:hyperlink r:id="rId13" w:history="1">
        <w:r w:rsidRPr="00086385">
          <w:rPr>
            <w:rStyle w:val="Lienhypertexte"/>
            <w:b/>
          </w:rPr>
          <w:t>https://www.aicanada.ca/wp-content/uploads/ICE-la-valeur-de-vos-renovations-WEB-1.pdf</w:t>
        </w:r>
      </w:hyperlink>
    </w:p>
    <w:sectPr w:rsidR="00086385" w:rsidRPr="00086385">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04A" w:rsidRDefault="0071504A" w:rsidP="008046B9">
      <w:pPr>
        <w:spacing w:after="0" w:line="240" w:lineRule="auto"/>
      </w:pPr>
      <w:r>
        <w:separator/>
      </w:r>
    </w:p>
  </w:endnote>
  <w:endnote w:type="continuationSeparator" w:id="0">
    <w:p w:rsidR="0071504A" w:rsidRDefault="0071504A" w:rsidP="0080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147311"/>
      <w:docPartObj>
        <w:docPartGallery w:val="Page Numbers (Bottom of Page)"/>
        <w:docPartUnique/>
      </w:docPartObj>
    </w:sdtPr>
    <w:sdtEndPr/>
    <w:sdtContent>
      <w:p w:rsidR="008046B9" w:rsidRDefault="008046B9">
        <w:pPr>
          <w:pStyle w:val="Pieddepage"/>
          <w:jc w:val="center"/>
        </w:pPr>
        <w:r>
          <w:fldChar w:fldCharType="begin"/>
        </w:r>
        <w:r>
          <w:instrText>PAGE   \* MERGEFORMAT</w:instrText>
        </w:r>
        <w:r>
          <w:fldChar w:fldCharType="separate"/>
        </w:r>
        <w:r w:rsidR="00F25222" w:rsidRPr="00F25222">
          <w:rPr>
            <w:noProof/>
            <w:lang w:val="fr-FR"/>
          </w:rPr>
          <w:t>1</w:t>
        </w:r>
        <w:r>
          <w:fldChar w:fldCharType="end"/>
        </w:r>
      </w:p>
    </w:sdtContent>
  </w:sdt>
  <w:p w:rsidR="008046B9" w:rsidRDefault="008046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04A" w:rsidRDefault="0071504A" w:rsidP="008046B9">
      <w:pPr>
        <w:spacing w:after="0" w:line="240" w:lineRule="auto"/>
      </w:pPr>
      <w:r>
        <w:separator/>
      </w:r>
    </w:p>
  </w:footnote>
  <w:footnote w:type="continuationSeparator" w:id="0">
    <w:p w:rsidR="0071504A" w:rsidRDefault="0071504A" w:rsidP="00804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7EB"/>
    <w:multiLevelType w:val="hybridMultilevel"/>
    <w:tmpl w:val="FB4C41A4"/>
    <w:lvl w:ilvl="0" w:tplc="879AB2D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4021350"/>
    <w:multiLevelType w:val="hybridMultilevel"/>
    <w:tmpl w:val="07AEEBE0"/>
    <w:lvl w:ilvl="0" w:tplc="06068B0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41"/>
    <w:rsid w:val="00046B7C"/>
    <w:rsid w:val="000509E7"/>
    <w:rsid w:val="0006233A"/>
    <w:rsid w:val="00081100"/>
    <w:rsid w:val="00086385"/>
    <w:rsid w:val="000C41BF"/>
    <w:rsid w:val="000D1DAC"/>
    <w:rsid w:val="000D43C3"/>
    <w:rsid w:val="000D779D"/>
    <w:rsid w:val="000E0BA4"/>
    <w:rsid w:val="000E4728"/>
    <w:rsid w:val="00102957"/>
    <w:rsid w:val="00112440"/>
    <w:rsid w:val="00132087"/>
    <w:rsid w:val="00133F62"/>
    <w:rsid w:val="00157D2E"/>
    <w:rsid w:val="0017214B"/>
    <w:rsid w:val="00186302"/>
    <w:rsid w:val="001F4ECB"/>
    <w:rsid w:val="002025C7"/>
    <w:rsid w:val="00213E51"/>
    <w:rsid w:val="0021521F"/>
    <w:rsid w:val="00220EBA"/>
    <w:rsid w:val="00252E88"/>
    <w:rsid w:val="002675CD"/>
    <w:rsid w:val="002824E1"/>
    <w:rsid w:val="002A2EEB"/>
    <w:rsid w:val="002B2CD4"/>
    <w:rsid w:val="00324319"/>
    <w:rsid w:val="003277CB"/>
    <w:rsid w:val="0034279D"/>
    <w:rsid w:val="00370780"/>
    <w:rsid w:val="003A0376"/>
    <w:rsid w:val="003C2FBF"/>
    <w:rsid w:val="00406BDC"/>
    <w:rsid w:val="0045255E"/>
    <w:rsid w:val="00485D90"/>
    <w:rsid w:val="004A39BF"/>
    <w:rsid w:val="004B1EEE"/>
    <w:rsid w:val="004C1292"/>
    <w:rsid w:val="004E6E53"/>
    <w:rsid w:val="00535D62"/>
    <w:rsid w:val="005544DB"/>
    <w:rsid w:val="00563F86"/>
    <w:rsid w:val="005940D0"/>
    <w:rsid w:val="00620C89"/>
    <w:rsid w:val="0065296E"/>
    <w:rsid w:val="00691190"/>
    <w:rsid w:val="006E2352"/>
    <w:rsid w:val="006F30DE"/>
    <w:rsid w:val="006F4A7E"/>
    <w:rsid w:val="006F4C02"/>
    <w:rsid w:val="0071429A"/>
    <w:rsid w:val="0071504A"/>
    <w:rsid w:val="00750218"/>
    <w:rsid w:val="00761B7C"/>
    <w:rsid w:val="00780FC1"/>
    <w:rsid w:val="00794D1A"/>
    <w:rsid w:val="007F39FD"/>
    <w:rsid w:val="007F564D"/>
    <w:rsid w:val="008046B9"/>
    <w:rsid w:val="008153FC"/>
    <w:rsid w:val="008474FB"/>
    <w:rsid w:val="008A74B8"/>
    <w:rsid w:val="008D5F70"/>
    <w:rsid w:val="00946E73"/>
    <w:rsid w:val="009731D8"/>
    <w:rsid w:val="00983420"/>
    <w:rsid w:val="00990089"/>
    <w:rsid w:val="009F15E3"/>
    <w:rsid w:val="00A14D44"/>
    <w:rsid w:val="00A32328"/>
    <w:rsid w:val="00A61E6B"/>
    <w:rsid w:val="00AA3E4E"/>
    <w:rsid w:val="00AA6666"/>
    <w:rsid w:val="00AB266D"/>
    <w:rsid w:val="00AC7B1C"/>
    <w:rsid w:val="00B117C6"/>
    <w:rsid w:val="00B473B9"/>
    <w:rsid w:val="00B76202"/>
    <w:rsid w:val="00BC78EA"/>
    <w:rsid w:val="00C229A5"/>
    <w:rsid w:val="00C33FDD"/>
    <w:rsid w:val="00C8094A"/>
    <w:rsid w:val="00C87D96"/>
    <w:rsid w:val="00CB7071"/>
    <w:rsid w:val="00CD0D2A"/>
    <w:rsid w:val="00CE7B47"/>
    <w:rsid w:val="00CF2473"/>
    <w:rsid w:val="00CF5736"/>
    <w:rsid w:val="00CF66D6"/>
    <w:rsid w:val="00D74A69"/>
    <w:rsid w:val="00D83FDE"/>
    <w:rsid w:val="00DA72EE"/>
    <w:rsid w:val="00DD3581"/>
    <w:rsid w:val="00E13C41"/>
    <w:rsid w:val="00E241F8"/>
    <w:rsid w:val="00E36AD1"/>
    <w:rsid w:val="00E537F9"/>
    <w:rsid w:val="00E57C7A"/>
    <w:rsid w:val="00EC3263"/>
    <w:rsid w:val="00F25222"/>
    <w:rsid w:val="00F319AA"/>
    <w:rsid w:val="00F34D23"/>
    <w:rsid w:val="00F62724"/>
    <w:rsid w:val="00F6765E"/>
    <w:rsid w:val="00FA1F0E"/>
    <w:rsid w:val="00FA7C23"/>
    <w:rsid w:val="00FB24E3"/>
    <w:rsid w:val="00FD62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AA9E44-7133-4A0B-A2CE-3C20278C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F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66D6"/>
    <w:pPr>
      <w:ind w:left="720"/>
      <w:contextualSpacing/>
    </w:pPr>
  </w:style>
  <w:style w:type="character" w:styleId="Lienhypertexte">
    <w:name w:val="Hyperlink"/>
    <w:basedOn w:val="Policepardfaut"/>
    <w:uiPriority w:val="99"/>
    <w:unhideWhenUsed/>
    <w:rsid w:val="008A74B8"/>
    <w:rPr>
      <w:color w:val="0000FF" w:themeColor="hyperlink"/>
      <w:u w:val="single"/>
    </w:rPr>
  </w:style>
  <w:style w:type="paragraph" w:styleId="En-tte">
    <w:name w:val="header"/>
    <w:basedOn w:val="Normal"/>
    <w:link w:val="En-tteCar"/>
    <w:uiPriority w:val="99"/>
    <w:unhideWhenUsed/>
    <w:rsid w:val="008046B9"/>
    <w:pPr>
      <w:tabs>
        <w:tab w:val="center" w:pos="4320"/>
        <w:tab w:val="right" w:pos="8640"/>
      </w:tabs>
      <w:spacing w:after="0" w:line="240" w:lineRule="auto"/>
    </w:pPr>
  </w:style>
  <w:style w:type="character" w:customStyle="1" w:styleId="En-tteCar">
    <w:name w:val="En-tête Car"/>
    <w:basedOn w:val="Policepardfaut"/>
    <w:link w:val="En-tte"/>
    <w:uiPriority w:val="99"/>
    <w:rsid w:val="008046B9"/>
  </w:style>
  <w:style w:type="paragraph" w:styleId="Pieddepage">
    <w:name w:val="footer"/>
    <w:basedOn w:val="Normal"/>
    <w:link w:val="PieddepageCar"/>
    <w:uiPriority w:val="99"/>
    <w:unhideWhenUsed/>
    <w:rsid w:val="008046B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046B9"/>
  </w:style>
  <w:style w:type="paragraph" w:styleId="Textedebulles">
    <w:name w:val="Balloon Text"/>
    <w:basedOn w:val="Normal"/>
    <w:link w:val="TextedebullesCar"/>
    <w:uiPriority w:val="99"/>
    <w:semiHidden/>
    <w:unhideWhenUsed/>
    <w:rsid w:val="008046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4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8982">
      <w:bodyDiv w:val="1"/>
      <w:marLeft w:val="0"/>
      <w:marRight w:val="0"/>
      <w:marTop w:val="0"/>
      <w:marBottom w:val="0"/>
      <w:divBdr>
        <w:top w:val="none" w:sz="0" w:space="0" w:color="auto"/>
        <w:left w:val="none" w:sz="0" w:space="0" w:color="auto"/>
        <w:bottom w:val="none" w:sz="0" w:space="0" w:color="auto"/>
        <w:right w:val="none" w:sz="0" w:space="0" w:color="auto"/>
      </w:divBdr>
    </w:div>
    <w:div w:id="405955633">
      <w:bodyDiv w:val="1"/>
      <w:marLeft w:val="0"/>
      <w:marRight w:val="0"/>
      <w:marTop w:val="0"/>
      <w:marBottom w:val="0"/>
      <w:divBdr>
        <w:top w:val="none" w:sz="0" w:space="0" w:color="auto"/>
        <w:left w:val="none" w:sz="0" w:space="0" w:color="auto"/>
        <w:bottom w:val="none" w:sz="0" w:space="0" w:color="auto"/>
        <w:right w:val="none" w:sz="0" w:space="0" w:color="auto"/>
      </w:divBdr>
    </w:div>
    <w:div w:id="509805400">
      <w:bodyDiv w:val="1"/>
      <w:marLeft w:val="0"/>
      <w:marRight w:val="0"/>
      <w:marTop w:val="0"/>
      <w:marBottom w:val="0"/>
      <w:divBdr>
        <w:top w:val="none" w:sz="0" w:space="0" w:color="auto"/>
        <w:left w:val="none" w:sz="0" w:space="0" w:color="auto"/>
        <w:bottom w:val="none" w:sz="0" w:space="0" w:color="auto"/>
        <w:right w:val="none" w:sz="0" w:space="0" w:color="auto"/>
      </w:divBdr>
    </w:div>
    <w:div w:id="20104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tineau.ca/portail/default.aspx?p=guichet_municipal/evaluation_fonciere&amp;requete=%C3%A9val&amp;ref=haut-de-page" TargetMode="External"/><Relationship Id="rId13" Type="http://schemas.openxmlformats.org/officeDocument/2006/relationships/hyperlink" Target="https://www.aicanada.ca/wp-content/uploads/ICE-la-valeur-de-vos-renovations-WEB-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eaq.qc.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tineau.ca/docs/guichet_municipal/administration_municipale/budget/budget_2021/depliant.fr-C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3.gatineau.ca/servicesenligne/taxation/" TargetMode="External"/><Relationship Id="rId4" Type="http://schemas.openxmlformats.org/officeDocument/2006/relationships/settings" Target="settings.xml"/><Relationship Id="rId9" Type="http://schemas.openxmlformats.org/officeDocument/2006/relationships/hyperlink" Target="https://www3.gatineau.ca/servicesenligne/evaluation/"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123A-7B3D-479D-ADC7-8E254982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11205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&amp; Gérard</dc:creator>
  <cp:lastModifiedBy>Olivier Côté</cp:lastModifiedBy>
  <cp:revision>2</cp:revision>
  <cp:lastPrinted>2021-01-14T02:01:00Z</cp:lastPrinted>
  <dcterms:created xsi:type="dcterms:W3CDTF">2021-01-26T02:12:00Z</dcterms:created>
  <dcterms:modified xsi:type="dcterms:W3CDTF">2021-01-26T02:12:00Z</dcterms:modified>
</cp:coreProperties>
</file>